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0EEA4" w14:textId="77777777" w:rsidR="004241AC" w:rsidRPr="000C7B84" w:rsidRDefault="00340DC4" w:rsidP="004241AC">
      <w:pPr>
        <w:spacing w:after="0" w:line="240" w:lineRule="auto"/>
        <w:jc w:val="center"/>
        <w:rPr>
          <w:rFonts w:cstheme="minorHAnsi"/>
          <w:sz w:val="24"/>
          <w:szCs w:val="24"/>
          <w:lang w:val="en-US"/>
        </w:rPr>
      </w:pPr>
      <w:r w:rsidRPr="000C7B84">
        <w:rPr>
          <w:rFonts w:cstheme="minorHAnsi"/>
          <w:noProof/>
          <w:sz w:val="24"/>
          <w:szCs w:val="24"/>
          <w:lang w:eastAsia="it-IT"/>
        </w:rPr>
        <w:drawing>
          <wp:inline distT="0" distB="0" distL="0" distR="0" wp14:anchorId="2AF3173A" wp14:editId="4ACEE1B7">
            <wp:extent cx="2143125" cy="847725"/>
            <wp:effectExtent l="19050" t="0" r="9525" b="0"/>
            <wp:docPr id="1" name="Immagin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419" cy="849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FC299" w14:textId="77777777" w:rsidR="004241AC" w:rsidRPr="000C7B84" w:rsidRDefault="004241AC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bookmarkStart w:id="0" w:name="Text15"/>
    <w:p w14:paraId="2A294A30" w14:textId="77777777" w:rsidR="00823F4C" w:rsidRPr="000C7B84" w:rsidRDefault="008F117D" w:rsidP="00823F4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C7B84">
        <w:rPr>
          <w:rFonts w:eastAsia="Calibri" w:cstheme="minorHAnsi"/>
          <w:noProof/>
          <w:color w:val="000000"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DB5F48E" wp14:editId="4873EBF0">
                <wp:simplePos x="0" y="0"/>
                <wp:positionH relativeFrom="column">
                  <wp:posOffset>-458470</wp:posOffset>
                </wp:positionH>
                <wp:positionV relativeFrom="paragraph">
                  <wp:posOffset>256540</wp:posOffset>
                </wp:positionV>
                <wp:extent cx="342900" cy="7121525"/>
                <wp:effectExtent l="0" t="0" r="0" b="3175"/>
                <wp:wrapNone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712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31F21" w14:textId="77777777" w:rsidR="00E653E1" w:rsidRPr="00DB4923" w:rsidRDefault="00E653E1" w:rsidP="00E653E1">
                            <w:pPr>
                              <w:ind w:left="708" w:firstLine="708"/>
                              <w:rPr>
                                <w:rFonts w:cs="Calibri"/>
                                <w:color w:val="A6A6A6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DB4923">
                              <w:rPr>
                                <w:rFonts w:cs="Calibri"/>
                                <w:color w:val="A6A6A6"/>
                                <w:sz w:val="18"/>
                                <w:szCs w:val="18"/>
                              </w:rPr>
                              <w:t>Mod</w:t>
                            </w:r>
                            <w:proofErr w:type="spellEnd"/>
                            <w:r w:rsidRPr="00DB4923">
                              <w:rPr>
                                <w:rFonts w:cs="Calibri"/>
                                <w:color w:val="A6A6A6"/>
                                <w:sz w:val="18"/>
                                <w:szCs w:val="18"/>
                              </w:rPr>
                              <w:t>. 3</w:t>
                            </w:r>
                            <w:r>
                              <w:rPr>
                                <w:rFonts w:cs="Calibri"/>
                                <w:color w:val="A6A6A6"/>
                                <w:sz w:val="18"/>
                                <w:szCs w:val="18"/>
                              </w:rPr>
                              <w:t>06/14</w:t>
                            </w:r>
                            <w:r>
                              <w:rPr>
                                <w:rFonts w:cs="Calibri"/>
                                <w:color w:val="A6A6A6"/>
                                <w:sz w:val="18"/>
                                <w:szCs w:val="18"/>
                              </w:rPr>
                              <w:tab/>
                            </w:r>
                            <w:r w:rsidRPr="008F117D">
                              <w:rPr>
                                <w:rFonts w:cs="Calibri"/>
                                <w:color w:val="A6A6A6"/>
                                <w:sz w:val="18"/>
                                <w:szCs w:val="18"/>
                              </w:rPr>
                              <w:t>Relazione Pubblica di Valutazione</w:t>
                            </w:r>
                            <w:r>
                              <w:rPr>
                                <w:rFonts w:cs="Calibri"/>
                                <w:color w:val="A6A6A6"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>
                              <w:rPr>
                                <w:rFonts w:cs="Calibri"/>
                                <w:color w:val="A6A6A6"/>
                                <w:sz w:val="18"/>
                                <w:szCs w:val="18"/>
                              </w:rPr>
                              <w:tab/>
                              <w:t xml:space="preserve">    Rev. 5.2</w:t>
                            </w:r>
                            <w:r>
                              <w:rPr>
                                <w:rFonts w:cs="Calibri"/>
                                <w:color w:val="A6A6A6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cs="Calibri"/>
                                <w:color w:val="A6A6A6"/>
                                <w:sz w:val="18"/>
                                <w:szCs w:val="18"/>
                              </w:rPr>
                              <w:tab/>
                              <w:t xml:space="preserve">     </w:t>
                            </w:r>
                            <w:proofErr w:type="gramStart"/>
                            <w:r w:rsidRPr="00DB4923">
                              <w:rPr>
                                <w:rFonts w:cs="Calibri"/>
                                <w:color w:val="A6A6A6"/>
                                <w:sz w:val="18"/>
                                <w:szCs w:val="18"/>
                              </w:rPr>
                              <w:t>Data :</w:t>
                            </w:r>
                            <w:proofErr w:type="gramEnd"/>
                            <w:r w:rsidRPr="00DB4923">
                              <w:rPr>
                                <w:rFonts w:cs="Calibri"/>
                                <w:color w:val="A6A6A6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cs="Calibri"/>
                                <w:color w:val="A6A6A6"/>
                                <w:sz w:val="18"/>
                                <w:szCs w:val="18"/>
                              </w:rPr>
                              <w:t xml:space="preserve">29/01/2026   </w:t>
                            </w:r>
                          </w:p>
                          <w:p w14:paraId="70F1F0A2" w14:textId="0C0320EF" w:rsidR="008F117D" w:rsidRPr="00DB4923" w:rsidRDefault="008F117D" w:rsidP="008F117D">
                            <w:pPr>
                              <w:ind w:left="708" w:firstLine="708"/>
                              <w:rPr>
                                <w:rFonts w:ascii="Calibri" w:hAnsi="Calibri" w:cs="Calibri"/>
                                <w:color w:val="A6A6A6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DB5F48E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-36.1pt;margin-top:20.2pt;width:27pt;height:560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" stroked="f">
                <v:textbox style="layout-flow:vertical;mso-layout-flow-alt:bottom-to-top">
                  <w:txbxContent>
                    <w:p w14:paraId="6F131F21" w14:textId="77777777" w:rsidR="00E653E1" w:rsidRPr="00DB4923" w:rsidRDefault="00E653E1" w:rsidP="00E653E1">
                      <w:pPr>
                        <w:ind w:left="708" w:firstLine="708"/>
                        <w:rPr>
                          <w:rFonts w:cs="Calibri"/>
                          <w:color w:val="A6A6A6"/>
                          <w:sz w:val="18"/>
                          <w:szCs w:val="18"/>
                        </w:rPr>
                      </w:pPr>
                      <w:r w:rsidRPr="00DB4923">
                        <w:rPr>
                          <w:rFonts w:cs="Calibri"/>
                          <w:color w:val="A6A6A6"/>
                          <w:sz w:val="18"/>
                          <w:szCs w:val="18"/>
                        </w:rPr>
                        <w:t>Mod. 3</w:t>
                      </w:r>
                      <w:r>
                        <w:rPr>
                          <w:rFonts w:cs="Calibri"/>
                          <w:color w:val="A6A6A6"/>
                          <w:sz w:val="18"/>
                          <w:szCs w:val="18"/>
                        </w:rPr>
                        <w:t>06/14</w:t>
                      </w:r>
                      <w:r>
                        <w:rPr>
                          <w:rFonts w:cs="Calibri"/>
                          <w:color w:val="A6A6A6"/>
                          <w:sz w:val="18"/>
                          <w:szCs w:val="18"/>
                        </w:rPr>
                        <w:tab/>
                      </w:r>
                      <w:r w:rsidRPr="008F117D">
                        <w:rPr>
                          <w:rFonts w:cs="Calibri"/>
                          <w:color w:val="A6A6A6"/>
                          <w:sz w:val="18"/>
                          <w:szCs w:val="18"/>
                        </w:rPr>
                        <w:t>Relazione Pubblica di Valutazione</w:t>
                      </w:r>
                      <w:r>
                        <w:rPr>
                          <w:rFonts w:cs="Calibri"/>
                          <w:color w:val="A6A6A6"/>
                          <w:sz w:val="18"/>
                          <w:szCs w:val="18"/>
                        </w:rPr>
                        <w:t xml:space="preserve">        </w:t>
                      </w:r>
                      <w:r>
                        <w:rPr>
                          <w:rFonts w:cs="Calibri"/>
                          <w:color w:val="A6A6A6"/>
                          <w:sz w:val="18"/>
                          <w:szCs w:val="18"/>
                        </w:rPr>
                        <w:tab/>
                        <w:t xml:space="preserve">    Rev. 5.2</w:t>
                      </w:r>
                      <w:r>
                        <w:rPr>
                          <w:rFonts w:cs="Calibri"/>
                          <w:color w:val="A6A6A6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cs="Calibri"/>
                          <w:color w:val="A6A6A6"/>
                          <w:sz w:val="18"/>
                          <w:szCs w:val="18"/>
                        </w:rPr>
                        <w:tab/>
                        <w:t xml:space="preserve">     </w:t>
                      </w:r>
                      <w:r w:rsidRPr="00DB4923">
                        <w:rPr>
                          <w:rFonts w:cs="Calibri"/>
                          <w:color w:val="A6A6A6"/>
                          <w:sz w:val="18"/>
                          <w:szCs w:val="18"/>
                        </w:rPr>
                        <w:t xml:space="preserve">Data :  </w:t>
                      </w:r>
                      <w:r>
                        <w:rPr>
                          <w:rFonts w:cs="Calibri"/>
                          <w:color w:val="A6A6A6"/>
                          <w:sz w:val="18"/>
                          <w:szCs w:val="18"/>
                        </w:rPr>
                        <w:t xml:space="preserve">29/01/2026   </w:t>
                      </w:r>
                    </w:p>
                    <w:p w14:paraId="70F1F0A2" w14:textId="0C0320EF" w:rsidR="008F117D" w:rsidRPr="00DB4923" w:rsidRDefault="008F117D" w:rsidP="008F117D">
                      <w:pPr>
                        <w:ind w:left="708" w:firstLine="708"/>
                        <w:rPr>
                          <w:rFonts w:ascii="Calibri" w:hAnsi="Calibri" w:cs="Calibri"/>
                          <w:color w:val="A6A6A6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23F4C" w:rsidRPr="000C7B84">
        <w:rPr>
          <w:rFonts w:cstheme="minorHAnsi"/>
          <w:b/>
          <w:sz w:val="24"/>
          <w:szCs w:val="24"/>
        </w:rPr>
        <w:t>Relazione Pubblica di Valutazione</w:t>
      </w:r>
    </w:p>
    <w:p w14:paraId="0D0FEEC7" w14:textId="77777777" w:rsidR="004241AC" w:rsidRPr="000C7B84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  <w:highlight w:val="yellow"/>
        </w:rPr>
      </w:pPr>
    </w:p>
    <w:p w14:paraId="61FC8A6E" w14:textId="77777777" w:rsidR="004609F8" w:rsidRPr="000C7B84" w:rsidRDefault="004609F8" w:rsidP="00FE030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  <w:highlight w:val="yellow"/>
        </w:rPr>
      </w:pPr>
    </w:p>
    <w:p w14:paraId="30579A0B" w14:textId="3B655877" w:rsidR="00BF7A42" w:rsidRPr="000C7B84" w:rsidRDefault="00153B3C" w:rsidP="004241AC">
      <w:pPr>
        <w:widowControl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PROTOX</w:t>
      </w:r>
    </w:p>
    <w:p w14:paraId="2BBD6A0B" w14:textId="77777777" w:rsidR="004609F8" w:rsidRPr="000C7B84" w:rsidRDefault="004609F8" w:rsidP="004241AC">
      <w:pPr>
        <w:widowControl w:val="0"/>
        <w:spacing w:after="0" w:line="240" w:lineRule="auto"/>
        <w:jc w:val="center"/>
        <w:rPr>
          <w:rFonts w:cstheme="minorHAnsi"/>
          <w:snapToGrid w:val="0"/>
          <w:sz w:val="24"/>
          <w:szCs w:val="24"/>
        </w:rPr>
      </w:pPr>
    </w:p>
    <w:p w14:paraId="1C99FDDE" w14:textId="136CEBE0" w:rsidR="004A2B2C" w:rsidRPr="000C7B84" w:rsidRDefault="00B84DD2" w:rsidP="004A2B2C">
      <w:pPr>
        <w:tabs>
          <w:tab w:val="left" w:pos="3124"/>
        </w:tabs>
        <w:jc w:val="center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O</w:t>
      </w:r>
      <w:r w:rsidR="004A2B2C" w:rsidRPr="000C7B84">
        <w:rPr>
          <w:rFonts w:cstheme="minorHAnsi"/>
          <w:sz w:val="24"/>
          <w:szCs w:val="24"/>
        </w:rPr>
        <w:t xml:space="preserve">ssigeno e protossido di azoto, </w:t>
      </w:r>
    </w:p>
    <w:p w14:paraId="55A19585" w14:textId="0E9DA76F" w:rsidR="00DF3193" w:rsidRPr="00DF3193" w:rsidRDefault="004A2B2C" w:rsidP="00DF3193">
      <w:pPr>
        <w:tabs>
          <w:tab w:val="left" w:pos="3124"/>
        </w:tabs>
        <w:jc w:val="center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50%/50% gas medicinale compresso</w:t>
      </w:r>
    </w:p>
    <w:p w14:paraId="474051DA" w14:textId="069D1090" w:rsidR="00EC3589" w:rsidRPr="000C7B84" w:rsidRDefault="00153B3C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 xml:space="preserve">SICO </w:t>
      </w:r>
      <w:r w:rsidR="00700B90">
        <w:rPr>
          <w:rFonts w:cstheme="minorHAnsi"/>
          <w:b/>
          <w:sz w:val="24"/>
          <w:szCs w:val="24"/>
        </w:rPr>
        <w:t>S</w:t>
      </w:r>
      <w:r w:rsidR="00001226">
        <w:rPr>
          <w:rFonts w:cstheme="minorHAnsi"/>
          <w:b/>
          <w:sz w:val="24"/>
          <w:szCs w:val="24"/>
        </w:rPr>
        <w:t>.</w:t>
      </w:r>
      <w:r w:rsidR="00700B90">
        <w:rPr>
          <w:rFonts w:cstheme="minorHAnsi"/>
          <w:b/>
          <w:sz w:val="24"/>
          <w:szCs w:val="24"/>
        </w:rPr>
        <w:t>p</w:t>
      </w:r>
      <w:r w:rsidR="00001226">
        <w:rPr>
          <w:rFonts w:cstheme="minorHAnsi"/>
          <w:b/>
          <w:sz w:val="24"/>
          <w:szCs w:val="24"/>
        </w:rPr>
        <w:t>.</w:t>
      </w:r>
      <w:r w:rsidR="00700B90">
        <w:rPr>
          <w:rFonts w:cstheme="minorHAnsi"/>
          <w:b/>
          <w:sz w:val="24"/>
          <w:szCs w:val="24"/>
        </w:rPr>
        <w:t>A</w:t>
      </w:r>
      <w:r w:rsidR="00001226">
        <w:rPr>
          <w:rFonts w:cstheme="minorHAnsi"/>
          <w:b/>
          <w:sz w:val="24"/>
          <w:szCs w:val="24"/>
        </w:rPr>
        <w:t>.</w:t>
      </w:r>
    </w:p>
    <w:p w14:paraId="0990F616" w14:textId="77777777" w:rsidR="004609F8" w:rsidRPr="000C7B84" w:rsidRDefault="004609F8" w:rsidP="004241AC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5FE49109" w14:textId="3FCFC108" w:rsidR="00797416" w:rsidRPr="000C7B84" w:rsidRDefault="004241AC" w:rsidP="00FE030E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 xml:space="preserve">Numero di AIC: </w:t>
      </w:r>
      <w:r w:rsidR="00153B3C" w:rsidRPr="000C7B84">
        <w:rPr>
          <w:rFonts w:cstheme="minorHAnsi"/>
          <w:b/>
          <w:bCs/>
          <w:sz w:val="24"/>
          <w:szCs w:val="24"/>
        </w:rPr>
        <w:t>051569</w:t>
      </w:r>
    </w:p>
    <w:bookmarkEnd w:id="0"/>
    <w:p w14:paraId="4498F4F9" w14:textId="77777777" w:rsidR="004E5A39" w:rsidRPr="000C7B84" w:rsidRDefault="004E5A39" w:rsidP="00FE030E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3AFAC049" w14:textId="77777777" w:rsidR="004E5A39" w:rsidRPr="000C7B84" w:rsidRDefault="004E5A39" w:rsidP="004E5A3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color w:val="000000"/>
          <w:sz w:val="24"/>
          <w:szCs w:val="24"/>
          <w:lang w:eastAsia="it-IT"/>
        </w:rPr>
      </w:pPr>
      <w:r w:rsidRPr="000C7B84">
        <w:rPr>
          <w:rFonts w:eastAsia="Calibri" w:cstheme="minorHAnsi"/>
          <w:b/>
          <w:color w:val="000000"/>
          <w:sz w:val="24"/>
          <w:szCs w:val="24"/>
          <w:lang w:eastAsia="it-IT"/>
        </w:rPr>
        <w:t>RIASSUNTO DELLA RELAZIONE PUBBLICA DI VALUTAZIONE</w:t>
      </w:r>
    </w:p>
    <w:p w14:paraId="40AF8377" w14:textId="77777777" w:rsidR="004E5A39" w:rsidRPr="000C7B84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</w:p>
    <w:p w14:paraId="285348FE" w14:textId="19936CB9" w:rsidR="00BB2AF8" w:rsidRPr="000C7B84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Cs/>
          <w:color w:val="000000"/>
          <w:sz w:val="24"/>
          <w:szCs w:val="24"/>
          <w:lang w:eastAsia="it-IT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Questa è la sintesi del </w:t>
      </w:r>
      <w:r w:rsidRPr="000C7B84">
        <w:rPr>
          <w:rFonts w:eastAsia="Calibri" w:cstheme="minorHAnsi"/>
          <w:i/>
          <w:color w:val="000000"/>
          <w:sz w:val="24"/>
          <w:szCs w:val="24"/>
          <w:lang w:eastAsia="it-IT"/>
        </w:rPr>
        <w:t xml:space="preserve">Public </w:t>
      </w:r>
      <w:proofErr w:type="spellStart"/>
      <w:r w:rsidRPr="000C7B84">
        <w:rPr>
          <w:rFonts w:eastAsia="Calibri" w:cstheme="minorHAnsi"/>
          <w:i/>
          <w:color w:val="000000"/>
          <w:sz w:val="24"/>
          <w:szCs w:val="24"/>
          <w:lang w:eastAsia="it-IT"/>
        </w:rPr>
        <w:t>Assessment</w:t>
      </w:r>
      <w:proofErr w:type="spellEnd"/>
      <w:r w:rsidRPr="000C7B84">
        <w:rPr>
          <w:rFonts w:eastAsia="Calibri" w:cstheme="minorHAnsi"/>
          <w:i/>
          <w:color w:val="000000"/>
          <w:sz w:val="24"/>
          <w:szCs w:val="24"/>
          <w:lang w:eastAsia="it-IT"/>
        </w:rPr>
        <w:t xml:space="preserve"> Report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(PAR) per </w:t>
      </w:r>
      <w:r w:rsidR="00153B3C"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.</w:t>
      </w:r>
      <w:r w:rsidRPr="000C7B84">
        <w:rPr>
          <w:rFonts w:eastAsia="Calibri" w:cstheme="minorHAnsi"/>
          <w:bCs/>
          <w:color w:val="000000"/>
          <w:sz w:val="24"/>
          <w:szCs w:val="24"/>
          <w:lang w:eastAsia="it-IT"/>
        </w:rPr>
        <w:t xml:space="preserve"> </w:t>
      </w:r>
      <w:r w:rsidR="0061413C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Esso spiega come </w:t>
      </w:r>
      <w:r w:rsidR="00153B3C"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è stato valutato </w:t>
      </w:r>
      <w:r w:rsidR="000C1389" w:rsidRPr="000C7B84">
        <w:rPr>
          <w:rFonts w:eastAsia="Calibri" w:cstheme="minorHAnsi"/>
          <w:color w:val="000000"/>
          <w:sz w:val="24"/>
          <w:szCs w:val="24"/>
          <w:lang w:eastAsia="it-IT"/>
        </w:rPr>
        <w:t>dall’AIFA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e le sue condizioni di impiego. Non intende fornire consigli pratici su come utilizzare </w:t>
      </w:r>
      <w:r w:rsidR="00153B3C"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Pr="000C7B84">
        <w:rPr>
          <w:rFonts w:eastAsia="Calibri" w:cstheme="minorHAnsi"/>
          <w:bCs/>
          <w:color w:val="000000"/>
          <w:sz w:val="24"/>
          <w:szCs w:val="24"/>
          <w:lang w:eastAsia="it-IT"/>
        </w:rPr>
        <w:t>.</w:t>
      </w:r>
    </w:p>
    <w:p w14:paraId="1E240D2B" w14:textId="7C118870" w:rsidR="00BB2AF8" w:rsidRPr="000C7B84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Per informazioni pratiche sull'utilizzo di</w:t>
      </w:r>
      <w:r w:rsidRPr="000C7B84">
        <w:rPr>
          <w:rFonts w:eastAsia="Calibri" w:cstheme="minorHAnsi"/>
          <w:bCs/>
          <w:color w:val="000000"/>
          <w:sz w:val="24"/>
          <w:szCs w:val="24"/>
          <w:lang w:eastAsia="it-IT"/>
        </w:rPr>
        <w:t xml:space="preserve"> </w:t>
      </w:r>
      <w:r w:rsidR="00153B3C"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="0061413C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i pazienti devono consultare il foglio illustrativo o contattare il loro medico o il farmacista. </w:t>
      </w:r>
    </w:p>
    <w:p w14:paraId="4801E1DC" w14:textId="77777777" w:rsidR="00BB2AF8" w:rsidRPr="000C7B84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</w:p>
    <w:p w14:paraId="0B4290CA" w14:textId="3097F223" w:rsidR="00BB2AF8" w:rsidRPr="000C7B84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color w:val="000000"/>
          <w:sz w:val="24"/>
          <w:szCs w:val="24"/>
          <w:lang w:eastAsia="it-IT"/>
        </w:rPr>
      </w:pPr>
      <w:r w:rsidRPr="000C7B84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 xml:space="preserve">1) CHE COS’È </w:t>
      </w:r>
      <w:r w:rsidR="00153B3C" w:rsidRPr="000C7B84">
        <w:rPr>
          <w:rFonts w:eastAsia="Calibri" w:cstheme="minorHAnsi"/>
          <w:b/>
          <w:color w:val="000000"/>
          <w:sz w:val="24"/>
          <w:szCs w:val="24"/>
          <w:lang w:eastAsia="it-IT"/>
        </w:rPr>
        <w:t>PROTOX</w:t>
      </w:r>
      <w:r w:rsidR="0061413C" w:rsidRPr="000C7B84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</w:t>
      </w:r>
      <w:r w:rsidRPr="000C7B84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 xml:space="preserve">E A COSA SERVE? </w:t>
      </w:r>
    </w:p>
    <w:p w14:paraId="13B93D06" w14:textId="02B917AF" w:rsidR="00797416" w:rsidRPr="000C7B84" w:rsidRDefault="00195167" w:rsidP="00195167">
      <w:pPr>
        <w:widowControl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PROTOX contiene una miscela pronta di protossido di azoto (N</w:t>
      </w:r>
      <w:r w:rsidRPr="000C7B84">
        <w:rPr>
          <w:rFonts w:eastAsia="Calibri" w:cstheme="minorHAnsi"/>
          <w:color w:val="000000"/>
          <w:sz w:val="24"/>
          <w:szCs w:val="24"/>
          <w:vertAlign w:val="subscript"/>
          <w:lang w:eastAsia="it-IT"/>
        </w:rPr>
        <w:t>2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O) e ossigeno (O</w:t>
      </w:r>
      <w:r w:rsidRPr="000C7B84">
        <w:rPr>
          <w:rFonts w:eastAsia="Calibri" w:cstheme="minorHAnsi"/>
          <w:color w:val="000000"/>
          <w:sz w:val="24"/>
          <w:szCs w:val="24"/>
          <w:vertAlign w:val="subscript"/>
          <w:lang w:eastAsia="it-IT"/>
        </w:rPr>
        <w:t>2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), ognuno</w:t>
      </w:r>
      <w:r w:rsidR="006014E8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al 50% e deve essere usato per inalazione della miscela</w:t>
      </w:r>
      <w:r w:rsidR="006014E8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. È </w:t>
      </w:r>
      <w:r w:rsidR="00797416" w:rsidRPr="000C7B84">
        <w:rPr>
          <w:rFonts w:eastAsia="Calibri" w:cstheme="minorHAnsi"/>
          <w:color w:val="000000"/>
          <w:sz w:val="24"/>
          <w:szCs w:val="24"/>
          <w:lang w:eastAsia="it-IT"/>
        </w:rPr>
        <w:t>disponibile come:</w:t>
      </w:r>
    </w:p>
    <w:p w14:paraId="4466C607" w14:textId="263A2074" w:rsidR="00797416" w:rsidRPr="000C7B84" w:rsidRDefault="0061413C" w:rsidP="005F011C">
      <w:pPr>
        <w:pStyle w:val="Paragrafoelenco"/>
        <w:widowControl w:val="0"/>
        <w:numPr>
          <w:ilvl w:val="0"/>
          <w:numId w:val="18"/>
        </w:numPr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0C7B84">
        <w:rPr>
          <w:rFonts w:cstheme="minorHAnsi"/>
          <w:sz w:val="24"/>
          <w:szCs w:val="24"/>
        </w:rPr>
        <w:t>gas medicinale compresso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,</w:t>
      </w:r>
      <w:r w:rsidR="00BB2AF8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contenent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e</w:t>
      </w:r>
      <w:r w:rsidR="00BB2AF8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50% </w:t>
      </w:r>
      <w:r w:rsidR="00E35EE9" w:rsidRPr="000C7B84">
        <w:rPr>
          <w:rFonts w:eastAsia="Calibri" w:cstheme="minorHAnsi"/>
          <w:color w:val="000000"/>
          <w:sz w:val="24"/>
          <w:szCs w:val="24"/>
          <w:lang w:eastAsia="it-IT"/>
        </w:rPr>
        <w:t>di ossigeno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e 50%</w:t>
      </w:r>
      <w:r w:rsidR="00E35EE9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di protossido di azoto. </w:t>
      </w:r>
    </w:p>
    <w:p w14:paraId="59246201" w14:textId="77777777" w:rsidR="0078608F" w:rsidRPr="000C7B84" w:rsidRDefault="0078608F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highlight w:val="yellow"/>
          <w:lang w:eastAsia="it-IT"/>
        </w:rPr>
      </w:pPr>
    </w:p>
    <w:p w14:paraId="702D1B77" w14:textId="77777777" w:rsidR="00153B3C" w:rsidRPr="000C7B84" w:rsidRDefault="00153B3C" w:rsidP="00153B3C">
      <w:pPr>
        <w:widowControl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PROTOX è un medicinale di impiego medico ben noto. Questo significa che il principio attivo del medicinale è di impiego medico ben consolidato nella Unione Europea da almeno dieci anni e presenta una riconosciuta efficacia e un livello accettabile di sicurezza.</w:t>
      </w:r>
    </w:p>
    <w:p w14:paraId="579B4D53" w14:textId="77777777" w:rsidR="007A1C0E" w:rsidRPr="000C7B84" w:rsidRDefault="007A1C0E" w:rsidP="00E27D9B">
      <w:pPr>
        <w:widowControl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</w:p>
    <w:p w14:paraId="7BF25199" w14:textId="0154FBA4" w:rsidR="0061413C" w:rsidRPr="000C7B84" w:rsidRDefault="00153B3C" w:rsidP="00E27D9B">
      <w:pPr>
        <w:widowControl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="0061413C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è indicato per l'uso negli adulti e nei bambini di età superiore a 1 mese per:</w:t>
      </w:r>
    </w:p>
    <w:p w14:paraId="391C6728" w14:textId="1CCEF9D0" w:rsidR="00C938E6" w:rsidRPr="000C7B84" w:rsidRDefault="000879D1" w:rsidP="00C938E6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ottenere un</w:t>
      </w:r>
      <w:r w:rsidR="00CE29C4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effetto antidolorifico che si instauri e scompaia rapidamente e quando il</w:t>
      </w:r>
      <w:r w:rsidR="00C938E6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CE29C4" w:rsidRPr="000C7B84">
        <w:rPr>
          <w:rFonts w:eastAsia="Calibri" w:cstheme="minorHAnsi"/>
          <w:color w:val="000000"/>
          <w:sz w:val="24"/>
          <w:szCs w:val="24"/>
          <w:lang w:eastAsia="it-IT"/>
        </w:rPr>
        <w:t>dolore da trattare è di intensità da lieve a moderata e di breve durata. PROTOX produce effetti</w:t>
      </w:r>
      <w:r w:rsidR="00C938E6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CE29C4" w:rsidRPr="000C7B84">
        <w:rPr>
          <w:rFonts w:eastAsia="Calibri" w:cstheme="minorHAnsi"/>
          <w:color w:val="000000"/>
          <w:sz w:val="24"/>
          <w:szCs w:val="24"/>
          <w:lang w:eastAsia="it-IT"/>
        </w:rPr>
        <w:t>antidolorifici dopo pochi respiri e gli effetti antidolorifici diminuiscono entro pochi minuti</w:t>
      </w:r>
      <w:r w:rsidR="00C938E6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CE29C4" w:rsidRPr="000C7B84">
        <w:rPr>
          <w:rFonts w:eastAsia="Calibri" w:cstheme="minorHAnsi"/>
          <w:color w:val="000000"/>
          <w:sz w:val="24"/>
          <w:szCs w:val="24"/>
          <w:lang w:eastAsia="it-IT"/>
        </w:rPr>
        <w:t>dopo la cessazione del suo uso</w:t>
      </w:r>
      <w:r w:rsidR="00C938E6" w:rsidRPr="000C7B84">
        <w:rPr>
          <w:rFonts w:eastAsia="Calibri" w:cstheme="minorHAnsi"/>
          <w:color w:val="000000"/>
          <w:sz w:val="24"/>
          <w:szCs w:val="24"/>
          <w:lang w:eastAsia="it-IT"/>
        </w:rPr>
        <w:t>;</w:t>
      </w:r>
    </w:p>
    <w:p w14:paraId="28BCF1F9" w14:textId="0D0932D4" w:rsidR="00BB2AF8" w:rsidRPr="000C7B84" w:rsidRDefault="000879D1" w:rsidP="00C938E6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la </w:t>
      </w:r>
      <w:r w:rsidR="00A557BB" w:rsidRPr="000C7B84">
        <w:rPr>
          <w:rFonts w:eastAsia="Calibri" w:cstheme="minorHAnsi"/>
          <w:color w:val="000000"/>
          <w:sz w:val="24"/>
          <w:szCs w:val="24"/>
          <w:lang w:eastAsia="it-IT"/>
        </w:rPr>
        <w:t>sedazione durante</w:t>
      </w:r>
      <w:r w:rsidR="00CE29C4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la chirurgia dentale in pazienti ansiosi.</w:t>
      </w:r>
    </w:p>
    <w:p w14:paraId="043775E3" w14:textId="77777777" w:rsidR="000C7B84" w:rsidRDefault="000C7B84" w:rsidP="0077283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bCs/>
          <w:color w:val="000000"/>
          <w:sz w:val="24"/>
          <w:szCs w:val="24"/>
          <w:lang w:eastAsia="it-IT"/>
        </w:rPr>
      </w:pPr>
    </w:p>
    <w:p w14:paraId="739BA8E8" w14:textId="22146A1C" w:rsidR="001C15DF" w:rsidRPr="000C7B84" w:rsidRDefault="00BB2AF8" w:rsidP="0077283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0C7B84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>2) COME</w:t>
      </w:r>
      <w:r w:rsidR="00FB5B15" w:rsidRPr="000C7B84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 xml:space="preserve"> È </w:t>
      </w:r>
      <w:r w:rsidRPr="000C7B84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 xml:space="preserve">PRESCRITTO/USATO </w:t>
      </w:r>
      <w:r w:rsidR="00153B3C" w:rsidRPr="000C7B84">
        <w:rPr>
          <w:rFonts w:eastAsia="Calibri" w:cstheme="minorHAnsi"/>
          <w:b/>
          <w:color w:val="000000"/>
          <w:sz w:val="24"/>
          <w:szCs w:val="24"/>
          <w:lang w:eastAsia="it-IT"/>
        </w:rPr>
        <w:t>PROTOX</w:t>
      </w:r>
      <w:r w:rsidRPr="000C7B84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>?</w:t>
      </w:r>
    </w:p>
    <w:p w14:paraId="58CBBC03" w14:textId="20C9F40B" w:rsidR="00E35EE9" w:rsidRPr="000C7B84" w:rsidRDefault="001C15DF" w:rsidP="00325EA5">
      <w:pPr>
        <w:pStyle w:val="PreformattatoHTML"/>
        <w:jc w:val="both"/>
        <w:rPr>
          <w:rFonts w:asciiTheme="minorHAnsi" w:eastAsia="Calibri" w:hAnsiTheme="minorHAnsi" w:cstheme="minorHAnsi"/>
          <w:color w:val="000000"/>
          <w:sz w:val="24"/>
          <w:szCs w:val="24"/>
        </w:rPr>
      </w:pPr>
      <w:r w:rsidRPr="000C7B84">
        <w:rPr>
          <w:rFonts w:asciiTheme="minorHAnsi" w:eastAsia="Calibri" w:hAnsiTheme="minorHAnsi" w:cstheme="minorHAnsi"/>
          <w:color w:val="000000"/>
          <w:sz w:val="24"/>
          <w:szCs w:val="24"/>
        </w:rPr>
        <w:t>Il medicinale è per u</w:t>
      </w:r>
      <w:r w:rsidR="0077283A" w:rsidRPr="000C7B84">
        <w:rPr>
          <w:rFonts w:asciiTheme="minorHAnsi" w:eastAsia="Calibri" w:hAnsiTheme="minorHAnsi" w:cstheme="minorHAnsi"/>
          <w:color w:val="000000"/>
          <w:sz w:val="24"/>
          <w:szCs w:val="24"/>
        </w:rPr>
        <w:t>so esclusivo uso di specialisti in anestesia e rianimazione, in odontoiatria e odontoiatri.</w:t>
      </w:r>
    </w:p>
    <w:p w14:paraId="065C87DC" w14:textId="0B87E820" w:rsidR="00E35EE9" w:rsidRPr="000C7B84" w:rsidRDefault="00153B3C" w:rsidP="00BB2AF8">
      <w:pPr>
        <w:tabs>
          <w:tab w:val="left" w:pos="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PROTOX</w:t>
      </w:r>
      <w:r w:rsidR="00E35EE9" w:rsidRPr="000C7B84">
        <w:rPr>
          <w:rFonts w:cstheme="minorHAnsi"/>
          <w:sz w:val="24"/>
          <w:szCs w:val="24"/>
        </w:rPr>
        <w:t xml:space="preserve">, in genere, viene inalato attraverso una maschera applicata ad una valvola speciale che consente un controllo completo del flusso di gas attraverso la propria respirazione. La valvola si apre solo durante l’inspirazione. </w:t>
      </w:r>
      <w:r w:rsidRPr="000C7B84">
        <w:rPr>
          <w:rFonts w:cstheme="minorHAnsi"/>
          <w:sz w:val="24"/>
          <w:szCs w:val="24"/>
        </w:rPr>
        <w:t>PROTOX</w:t>
      </w:r>
      <w:r w:rsidR="00E35EE9" w:rsidRPr="000C7B84">
        <w:rPr>
          <w:rFonts w:cstheme="minorHAnsi"/>
          <w:sz w:val="24"/>
          <w:szCs w:val="24"/>
        </w:rPr>
        <w:t xml:space="preserve"> può essere somministrato anche attraverso una cosiddetta maschera nasale.</w:t>
      </w:r>
    </w:p>
    <w:p w14:paraId="7EB41942" w14:textId="77777777" w:rsidR="00642CB0" w:rsidRPr="000C7B84" w:rsidRDefault="00642CB0" w:rsidP="00642CB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  <w:lang w:eastAsia="it-IT"/>
        </w:rPr>
      </w:pPr>
    </w:p>
    <w:p w14:paraId="5AAEE8BB" w14:textId="066DF4AC" w:rsidR="00BB2AF8" w:rsidRPr="000C7B84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0C7B84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lastRenderedPageBreak/>
        <w:t xml:space="preserve">3) COME FUNZIONA </w:t>
      </w:r>
      <w:r w:rsidR="00153B3C" w:rsidRPr="000C7B84">
        <w:rPr>
          <w:rFonts w:eastAsia="Calibri" w:cstheme="minorHAnsi"/>
          <w:b/>
          <w:color w:val="000000"/>
          <w:sz w:val="24"/>
          <w:szCs w:val="24"/>
          <w:lang w:eastAsia="it-IT"/>
        </w:rPr>
        <w:t>PROTOX</w:t>
      </w:r>
      <w:r w:rsidRPr="000C7B84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 xml:space="preserve">? </w:t>
      </w:r>
    </w:p>
    <w:p w14:paraId="594FC817" w14:textId="04BE49E8" w:rsidR="00496633" w:rsidRPr="000C7B84" w:rsidRDefault="00153B3C" w:rsidP="001412C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="00BB2AF8" w:rsidRPr="000C7B84">
        <w:rPr>
          <w:rFonts w:eastAsia="Calibri" w:cstheme="minorHAnsi"/>
          <w:bCs/>
          <w:color w:val="000000"/>
          <w:sz w:val="24"/>
          <w:szCs w:val="24"/>
          <w:lang w:eastAsia="it-IT"/>
        </w:rPr>
        <w:t xml:space="preserve">, il cui codice ATC è </w:t>
      </w:r>
      <w:r w:rsidR="007D6C88" w:rsidRPr="000C7B84">
        <w:rPr>
          <w:rFonts w:cstheme="minorHAnsi"/>
          <w:sz w:val="24"/>
          <w:szCs w:val="24"/>
        </w:rPr>
        <w:t>N01AX</w:t>
      </w:r>
      <w:r w:rsidR="002E3566" w:rsidRPr="000C7B84">
        <w:rPr>
          <w:rFonts w:cstheme="minorHAnsi"/>
          <w:sz w:val="24"/>
          <w:szCs w:val="24"/>
        </w:rPr>
        <w:t>6</w:t>
      </w:r>
      <w:r w:rsidR="007D6C88" w:rsidRPr="000C7B84">
        <w:rPr>
          <w:rFonts w:cstheme="minorHAnsi"/>
          <w:sz w:val="24"/>
          <w:szCs w:val="24"/>
        </w:rPr>
        <w:t>3</w:t>
      </w:r>
      <w:r w:rsidR="002C57EB" w:rsidRPr="000C7B84">
        <w:rPr>
          <w:rFonts w:cstheme="minorHAnsi"/>
          <w:sz w:val="24"/>
          <w:szCs w:val="24"/>
        </w:rPr>
        <w:t>,</w:t>
      </w:r>
      <w:r w:rsidR="00BB2AF8" w:rsidRPr="000C7B84">
        <w:rPr>
          <w:rFonts w:eastAsia="DejaVuSans" w:cstheme="minorHAnsi"/>
          <w:sz w:val="24"/>
          <w:szCs w:val="24"/>
        </w:rPr>
        <w:t xml:space="preserve"> </w:t>
      </w:r>
      <w:r w:rsidR="007D6C88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contiene i principi attivi ossigeno </w:t>
      </w:r>
      <w:r w:rsidR="002C57EB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al 50% </w:t>
      </w:r>
      <w:r w:rsidR="007D6C88" w:rsidRPr="000C7B84">
        <w:rPr>
          <w:rFonts w:eastAsia="Calibri" w:cstheme="minorHAnsi"/>
          <w:color w:val="000000"/>
          <w:sz w:val="24"/>
          <w:szCs w:val="24"/>
          <w:lang w:eastAsia="it-IT"/>
        </w:rPr>
        <w:t>e protossido di azoto</w:t>
      </w:r>
      <w:r w:rsidR="00F96473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2C57EB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al 50% </w:t>
      </w:r>
      <w:r w:rsidR="007D6C88" w:rsidRPr="000C7B84">
        <w:rPr>
          <w:rFonts w:eastAsia="DejaVuSans" w:cstheme="minorHAnsi"/>
          <w:sz w:val="24"/>
          <w:szCs w:val="24"/>
        </w:rPr>
        <w:t>e</w:t>
      </w:r>
      <w:r w:rsidR="00BB2AF8" w:rsidRPr="000C7B84">
        <w:rPr>
          <w:rFonts w:eastAsia="DejaVuSans" w:cstheme="minorHAnsi"/>
          <w:sz w:val="24"/>
          <w:szCs w:val="24"/>
        </w:rPr>
        <w:t xml:space="preserve"> </w:t>
      </w:r>
      <w:r w:rsidR="00BB2AF8" w:rsidRPr="000C7B84">
        <w:rPr>
          <w:rFonts w:cstheme="minorHAnsi"/>
          <w:sz w:val="24"/>
          <w:szCs w:val="24"/>
        </w:rPr>
        <w:t xml:space="preserve">appartiene alla classe </w:t>
      </w:r>
      <w:r w:rsidR="007D6C88" w:rsidRPr="000C7B84">
        <w:rPr>
          <w:rFonts w:cstheme="minorHAnsi"/>
          <w:sz w:val="24"/>
          <w:szCs w:val="24"/>
        </w:rPr>
        <w:t xml:space="preserve">degli anestetici. </w:t>
      </w:r>
    </w:p>
    <w:p w14:paraId="42F1780F" w14:textId="1FD213D6" w:rsidR="001412C9" w:rsidRPr="000C7B84" w:rsidRDefault="001412C9" w:rsidP="001412C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Il protossido di azoto ha un effetto antidolorifico, riduce la sensazione di dolore e aumenta la soglia del dolore. Il protossido di azoto ha anche un effetto rilassante e leggermente calmante. Questi effetti sono una conseguenza dell’effetto che il protossido di azoto ha sulle sostanze di trasmissione dei segnali del sistema nervoso.</w:t>
      </w:r>
    </w:p>
    <w:p w14:paraId="333FEF61" w14:textId="37DC771B" w:rsidR="002C57EB" w:rsidRPr="000C7B84" w:rsidRDefault="001412C9" w:rsidP="001412C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La concentrazione di ossigeno del 50%, circa il doppio di quella dell’aria nell’ambiente,</w:t>
      </w:r>
      <w:r w:rsidR="00496633" w:rsidRPr="000C7B84">
        <w:rPr>
          <w:rFonts w:cstheme="minorHAnsi"/>
          <w:sz w:val="24"/>
          <w:szCs w:val="24"/>
        </w:rPr>
        <w:t xml:space="preserve"> </w:t>
      </w:r>
      <w:r w:rsidRPr="000C7B84">
        <w:rPr>
          <w:rFonts w:cstheme="minorHAnsi"/>
          <w:sz w:val="24"/>
          <w:szCs w:val="24"/>
        </w:rPr>
        <w:t>garantisce un contenuto di ossigeno sicuro del gas inspirat</w:t>
      </w:r>
      <w:r w:rsidR="00496633" w:rsidRPr="000C7B84">
        <w:rPr>
          <w:rFonts w:cstheme="minorHAnsi"/>
          <w:sz w:val="24"/>
          <w:szCs w:val="24"/>
        </w:rPr>
        <w:t>o.</w:t>
      </w:r>
    </w:p>
    <w:p w14:paraId="7A517F37" w14:textId="42555D3C" w:rsidR="00BB2AF8" w:rsidRPr="000C7B84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i/>
          <w:color w:val="000000"/>
          <w:sz w:val="24"/>
          <w:szCs w:val="24"/>
          <w:shd w:val="clear" w:color="auto" w:fill="FFFFFF"/>
        </w:rPr>
      </w:pPr>
    </w:p>
    <w:p w14:paraId="238A525A" w14:textId="487B2ED3" w:rsidR="00172AED" w:rsidRPr="000C7B84" w:rsidRDefault="00BB2AF8" w:rsidP="00172AE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lang w:eastAsia="it-IT"/>
        </w:rPr>
      </w:pPr>
      <w:r w:rsidRPr="000C7B84">
        <w:rPr>
          <w:rFonts w:eastAsia="Calibri" w:cstheme="minorHAnsi"/>
          <w:b/>
          <w:bCs/>
          <w:sz w:val="24"/>
          <w:szCs w:val="24"/>
          <w:lang w:eastAsia="it-IT"/>
        </w:rPr>
        <w:t xml:space="preserve">4) COME È STATO STUDIATO </w:t>
      </w:r>
      <w:r w:rsidR="00153B3C" w:rsidRPr="000C7B84">
        <w:rPr>
          <w:rFonts w:eastAsia="Calibri" w:cstheme="minorHAnsi"/>
          <w:b/>
          <w:color w:val="000000"/>
          <w:sz w:val="24"/>
          <w:szCs w:val="24"/>
          <w:lang w:eastAsia="it-IT"/>
        </w:rPr>
        <w:t>PROTOX</w:t>
      </w:r>
      <w:r w:rsidRPr="000C7B84">
        <w:rPr>
          <w:rFonts w:eastAsia="Calibri" w:cstheme="minorHAnsi"/>
          <w:b/>
          <w:bCs/>
          <w:sz w:val="24"/>
          <w:szCs w:val="24"/>
          <w:lang w:eastAsia="it-IT"/>
        </w:rPr>
        <w:t xml:space="preserve">? </w:t>
      </w:r>
    </w:p>
    <w:p w14:paraId="522421A3" w14:textId="7192558F" w:rsidR="00A05F95" w:rsidRPr="000C7B84" w:rsidRDefault="00153B3C" w:rsidP="00897CF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Poiché PROTOX contiene due principi attivi ben noti ed il suo uso nel trattamento </w:t>
      </w:r>
      <w:r w:rsidR="00897CF6" w:rsidRPr="000C7B84">
        <w:rPr>
          <w:rFonts w:cstheme="minorHAnsi"/>
          <w:sz w:val="24"/>
          <w:szCs w:val="24"/>
        </w:rPr>
        <w:t xml:space="preserve">di condizioni dolorose di breve durata, di intensità da lieve a moderata, </w:t>
      </w:r>
      <w:r w:rsidR="0055545A" w:rsidRPr="000C7B84">
        <w:rPr>
          <w:rFonts w:cstheme="minorHAnsi"/>
          <w:sz w:val="24"/>
          <w:szCs w:val="24"/>
        </w:rPr>
        <w:t>e per la sedazione durante la chirurgia dentale i</w:t>
      </w:r>
      <w:r w:rsidR="0055545A" w:rsidRPr="000C7B84">
        <w:rPr>
          <w:rFonts w:cstheme="minorHAnsi"/>
          <w:color w:val="000000"/>
          <w:sz w:val="24"/>
          <w:szCs w:val="24"/>
          <w:lang w:eastAsia="it-IT"/>
        </w:rPr>
        <w:t>n pazienti ansiosi,</w:t>
      </w:r>
      <w:r w:rsidR="00897CF6" w:rsidRPr="000C7B84">
        <w:rPr>
          <w:rFonts w:cstheme="minorHAnsi"/>
          <w:sz w:val="24"/>
          <w:szCs w:val="24"/>
        </w:rPr>
        <w:t xml:space="preserve"> 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è consolidato, la società ha presentato dati di letteratura scientifica. I numerosi riferimenti bibliografici forniti confermano l’efficacia e la sicurezza dell’ossigeno al 50% e del protossido di azoto al 50%, quando assunti per</w:t>
      </w:r>
      <w:r w:rsidR="00A05F95" w:rsidRPr="000C7B84">
        <w:rPr>
          <w:rFonts w:eastAsia="Calibri" w:cstheme="minorHAnsi"/>
          <w:color w:val="000000"/>
          <w:sz w:val="24"/>
          <w:szCs w:val="24"/>
          <w:lang w:eastAsia="it-IT"/>
        </w:rPr>
        <w:t>:</w:t>
      </w:r>
    </w:p>
    <w:p w14:paraId="0E63052D" w14:textId="6C0C61D9" w:rsidR="00A05F95" w:rsidRPr="000C7B84" w:rsidRDefault="00A05F95" w:rsidP="00A05F95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ottenere un effetto antidolorifico che si instauri e scompaia rapidamente e quando il dolore da trattare è di intensità da lieve a moderata e di breve durata</w:t>
      </w:r>
      <w:r w:rsidR="00C87C3A" w:rsidRPr="000C7B84">
        <w:rPr>
          <w:rFonts w:eastAsia="Calibri" w:cstheme="minorHAnsi"/>
          <w:color w:val="000000"/>
          <w:sz w:val="24"/>
          <w:szCs w:val="24"/>
          <w:lang w:eastAsia="it-IT"/>
        </w:rPr>
        <w:t>;</w:t>
      </w:r>
    </w:p>
    <w:p w14:paraId="07CA4BF8" w14:textId="55A40DA1" w:rsidR="00A05F95" w:rsidRPr="000C7B84" w:rsidRDefault="005E4787" w:rsidP="00A05F95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sedazione durante</w:t>
      </w:r>
      <w:r w:rsidR="00A05F95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chirurgia dentale in pazienti ansiosi.</w:t>
      </w:r>
    </w:p>
    <w:p w14:paraId="0FD1F607" w14:textId="77777777" w:rsidR="00153B3C" w:rsidRPr="000C7B84" w:rsidRDefault="00153B3C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</w:p>
    <w:p w14:paraId="22F5CDCE" w14:textId="06C03F08" w:rsidR="00BB2AF8" w:rsidRPr="000C7B84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0C7B84">
        <w:rPr>
          <w:rFonts w:eastAsia="Calibri" w:cstheme="minorHAnsi"/>
          <w:b/>
          <w:bCs/>
          <w:sz w:val="24"/>
          <w:szCs w:val="24"/>
          <w:lang w:eastAsia="it-IT"/>
        </w:rPr>
        <w:t xml:space="preserve">5) QUAL È IL RAPPORTO BENEFICIO/RISCHIO DI </w:t>
      </w:r>
      <w:r w:rsidR="00153B3C" w:rsidRPr="000C7B84">
        <w:rPr>
          <w:rFonts w:eastAsia="Calibri" w:cstheme="minorHAnsi"/>
          <w:b/>
          <w:color w:val="000000"/>
          <w:sz w:val="24"/>
          <w:szCs w:val="24"/>
          <w:lang w:eastAsia="it-IT"/>
        </w:rPr>
        <w:t>PROTOX</w:t>
      </w:r>
      <w:r w:rsidRPr="000C7B84">
        <w:rPr>
          <w:rFonts w:eastAsia="Calibri" w:cstheme="minorHAnsi"/>
          <w:b/>
          <w:sz w:val="24"/>
          <w:szCs w:val="24"/>
          <w:lang w:eastAsia="it-IT"/>
        </w:rPr>
        <w:t>?</w:t>
      </w:r>
      <w:r w:rsidRPr="000C7B84">
        <w:rPr>
          <w:rFonts w:eastAsia="Calibri" w:cstheme="minorHAnsi"/>
          <w:sz w:val="24"/>
          <w:szCs w:val="24"/>
          <w:lang w:eastAsia="it-IT"/>
        </w:rPr>
        <w:t xml:space="preserve"> </w:t>
      </w:r>
    </w:p>
    <w:p w14:paraId="4C8C467D" w14:textId="0E5A9017" w:rsidR="00AD1A23" w:rsidRPr="000C7B84" w:rsidRDefault="000D1A40" w:rsidP="006F56E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  <w:lang w:eastAsia="it-IT"/>
        </w:rPr>
      </w:pPr>
      <w:r w:rsidRPr="000C7B84">
        <w:rPr>
          <w:rFonts w:cstheme="minorHAnsi"/>
          <w:sz w:val="24"/>
          <w:szCs w:val="24"/>
          <w:lang w:eastAsia="it-IT"/>
        </w:rPr>
        <w:t xml:space="preserve">I dati presentati a supporto dell’autorizzazione all’immissione in commercio di </w:t>
      </w:r>
      <w:r w:rsidRPr="000C7B84">
        <w:rPr>
          <w:rFonts w:cstheme="minorHAnsi"/>
          <w:color w:val="000000"/>
          <w:sz w:val="24"/>
          <w:szCs w:val="24"/>
          <w:lang w:eastAsia="it-IT"/>
        </w:rPr>
        <w:t>PROTOX</w:t>
      </w:r>
      <w:r w:rsidRPr="000C7B84">
        <w:rPr>
          <w:rFonts w:cstheme="minorHAnsi"/>
          <w:sz w:val="24"/>
          <w:szCs w:val="24"/>
          <w:lang w:eastAsia="it-IT"/>
        </w:rPr>
        <w:t xml:space="preserve"> hanno dimostrato che i benefici per l’uso di </w:t>
      </w:r>
      <w:r w:rsidRPr="000C7B84">
        <w:rPr>
          <w:rFonts w:cstheme="minorHAnsi"/>
          <w:color w:val="000000"/>
          <w:sz w:val="24"/>
          <w:szCs w:val="24"/>
          <w:lang w:eastAsia="it-IT"/>
        </w:rPr>
        <w:t>PROTOX quando assunto</w:t>
      </w:r>
      <w:r w:rsidR="000974D3" w:rsidRPr="000C7B84">
        <w:rPr>
          <w:rFonts w:cstheme="minorHAnsi"/>
          <w:color w:val="000000"/>
          <w:sz w:val="24"/>
          <w:szCs w:val="24"/>
          <w:lang w:eastAsia="it-IT"/>
        </w:rPr>
        <w:t xml:space="preserve"> </w:t>
      </w:r>
      <w:r w:rsidR="00347D7F" w:rsidRPr="000C7B84">
        <w:rPr>
          <w:rFonts w:eastAsia="Calibri" w:cstheme="minorHAnsi"/>
          <w:color w:val="000000"/>
          <w:sz w:val="24"/>
          <w:szCs w:val="24"/>
          <w:lang w:eastAsia="it-IT"/>
        </w:rPr>
        <w:t>per il</w:t>
      </w:r>
      <w:r w:rsidR="0003153B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trattamento </w:t>
      </w:r>
      <w:r w:rsidR="0003153B" w:rsidRPr="000C7B84">
        <w:rPr>
          <w:rFonts w:cstheme="minorHAnsi"/>
          <w:sz w:val="24"/>
          <w:szCs w:val="24"/>
        </w:rPr>
        <w:t>di condizioni dolorose di breve durata, di intensità da lieve a moderata, e per la sedazione durante la chirurgia dentale i</w:t>
      </w:r>
      <w:r w:rsidR="0003153B" w:rsidRPr="000C7B84">
        <w:rPr>
          <w:rFonts w:cstheme="minorHAnsi"/>
          <w:color w:val="000000"/>
          <w:sz w:val="24"/>
          <w:szCs w:val="24"/>
          <w:lang w:eastAsia="it-IT"/>
        </w:rPr>
        <w:t>n pazienti ansiosi,</w:t>
      </w:r>
      <w:r w:rsidR="0003153B" w:rsidRPr="000C7B84">
        <w:rPr>
          <w:rFonts w:cstheme="minorHAnsi"/>
          <w:sz w:val="24"/>
          <w:szCs w:val="24"/>
        </w:rPr>
        <w:t xml:space="preserve"> </w:t>
      </w:r>
      <w:r w:rsidRPr="000C7B84">
        <w:rPr>
          <w:rFonts w:cstheme="minorHAnsi"/>
          <w:sz w:val="24"/>
          <w:szCs w:val="24"/>
          <w:lang w:eastAsia="it-IT"/>
        </w:rPr>
        <w:t xml:space="preserve">sono superiori ai suoi rischi. Pertanto, il rapporto beneficio/rischio è stato considerato favorevole per l’autorizzazione all’immissione in commercio di </w:t>
      </w:r>
      <w:r w:rsidRPr="000C7B84">
        <w:rPr>
          <w:rFonts w:cstheme="minorHAnsi"/>
          <w:color w:val="000000"/>
          <w:sz w:val="24"/>
          <w:szCs w:val="24"/>
          <w:lang w:eastAsia="it-IT"/>
        </w:rPr>
        <w:t>PROTOX</w:t>
      </w:r>
      <w:r w:rsidRPr="000C7B84">
        <w:rPr>
          <w:rFonts w:cstheme="minorHAnsi"/>
          <w:sz w:val="24"/>
          <w:szCs w:val="24"/>
          <w:lang w:eastAsia="it-IT"/>
        </w:rPr>
        <w:t xml:space="preserve">. I più comuni effetti indesiderati riscontrati con </w:t>
      </w:r>
      <w:r w:rsidRPr="000C7B84">
        <w:rPr>
          <w:rFonts w:cstheme="minorHAnsi"/>
          <w:color w:val="000000"/>
          <w:sz w:val="24"/>
          <w:szCs w:val="24"/>
          <w:lang w:eastAsia="it-IT"/>
        </w:rPr>
        <w:t>PROTOX</w:t>
      </w:r>
      <w:r w:rsidRPr="000C7B84">
        <w:rPr>
          <w:rFonts w:cstheme="minorHAnsi"/>
          <w:sz w:val="24"/>
          <w:szCs w:val="24"/>
        </w:rPr>
        <w:t xml:space="preserve"> </w:t>
      </w:r>
      <w:r w:rsidRPr="000C7B84">
        <w:rPr>
          <w:rFonts w:cstheme="minorHAnsi"/>
          <w:sz w:val="24"/>
          <w:szCs w:val="24"/>
          <w:lang w:eastAsia="it-IT"/>
        </w:rPr>
        <w:t xml:space="preserve">sono </w:t>
      </w:r>
      <w:r w:rsidR="00AD1A23" w:rsidRPr="000C7B84">
        <w:rPr>
          <w:rFonts w:cstheme="minorHAnsi"/>
          <w:sz w:val="24"/>
          <w:szCs w:val="24"/>
          <w:lang w:eastAsia="it-IT"/>
        </w:rPr>
        <w:t>capogiro, stordimento, euforia, nausea e vomito.</w:t>
      </w:r>
    </w:p>
    <w:p w14:paraId="132F278E" w14:textId="06C8485A" w:rsidR="000D1A40" w:rsidRPr="000C7B84" w:rsidRDefault="000D1A40" w:rsidP="000D1A4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eastAsia="it-IT"/>
        </w:rPr>
      </w:pPr>
      <w:r w:rsidRPr="000C7B84">
        <w:rPr>
          <w:rFonts w:cstheme="minorHAnsi"/>
          <w:sz w:val="24"/>
          <w:szCs w:val="24"/>
          <w:lang w:eastAsia="it-IT"/>
        </w:rPr>
        <w:t xml:space="preserve">Per l’elenco completo degli effetti indesiderati rilevati con </w:t>
      </w:r>
      <w:r w:rsidR="000D2931" w:rsidRPr="000C7B84">
        <w:rPr>
          <w:rFonts w:cstheme="minorHAnsi"/>
          <w:color w:val="000000"/>
          <w:sz w:val="24"/>
          <w:szCs w:val="24"/>
          <w:lang w:eastAsia="it-IT"/>
        </w:rPr>
        <w:t xml:space="preserve">PROTOX </w:t>
      </w:r>
      <w:r w:rsidRPr="000C7B84">
        <w:rPr>
          <w:rFonts w:cstheme="minorHAnsi"/>
          <w:sz w:val="24"/>
          <w:szCs w:val="24"/>
          <w:lang w:eastAsia="it-IT"/>
        </w:rPr>
        <w:t>si rimanda al foglio illustrativo.</w:t>
      </w:r>
    </w:p>
    <w:p w14:paraId="5492F852" w14:textId="77777777" w:rsidR="008954AC" w:rsidRPr="000C7B84" w:rsidRDefault="008954AC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i/>
          <w:sz w:val="24"/>
          <w:szCs w:val="24"/>
          <w:lang w:eastAsia="it-IT"/>
        </w:rPr>
      </w:pPr>
    </w:p>
    <w:p w14:paraId="254D5388" w14:textId="3C31B684" w:rsidR="00BB2AF8" w:rsidRPr="000C7B84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0C7B84">
        <w:rPr>
          <w:rFonts w:eastAsia="Calibri" w:cstheme="minorHAnsi"/>
          <w:b/>
          <w:bCs/>
          <w:sz w:val="24"/>
          <w:szCs w:val="24"/>
          <w:lang w:eastAsia="it-IT"/>
        </w:rPr>
        <w:t xml:space="preserve">6) PERCHE’ </w:t>
      </w:r>
      <w:r w:rsidR="00153B3C" w:rsidRPr="000C7B84">
        <w:rPr>
          <w:rFonts w:eastAsia="Calibri" w:cstheme="minorHAnsi"/>
          <w:b/>
          <w:color w:val="000000"/>
          <w:sz w:val="24"/>
          <w:szCs w:val="24"/>
          <w:lang w:eastAsia="it-IT"/>
        </w:rPr>
        <w:t>PROTOX</w:t>
      </w:r>
      <w:r w:rsidR="007170D7" w:rsidRPr="000C7B84">
        <w:rPr>
          <w:rFonts w:eastAsia="Calibri" w:cstheme="minorHAnsi"/>
          <w:b/>
          <w:color w:val="000000"/>
          <w:sz w:val="24"/>
          <w:szCs w:val="24"/>
          <w:lang w:eastAsia="it-IT"/>
        </w:rPr>
        <w:t xml:space="preserve"> </w:t>
      </w:r>
      <w:proofErr w:type="gramStart"/>
      <w:r w:rsidRPr="000C7B84">
        <w:rPr>
          <w:rFonts w:eastAsia="Calibri" w:cstheme="minorHAnsi"/>
          <w:b/>
          <w:bCs/>
          <w:sz w:val="24"/>
          <w:szCs w:val="24"/>
          <w:lang w:eastAsia="it-IT"/>
        </w:rPr>
        <w:t>E’</w:t>
      </w:r>
      <w:proofErr w:type="gramEnd"/>
      <w:r w:rsidRPr="000C7B84">
        <w:rPr>
          <w:rFonts w:eastAsia="Calibri" w:cstheme="minorHAnsi"/>
          <w:b/>
          <w:bCs/>
          <w:sz w:val="24"/>
          <w:szCs w:val="24"/>
          <w:lang w:eastAsia="it-IT"/>
        </w:rPr>
        <w:t xml:space="preserve"> STATO APPROVATO? </w:t>
      </w:r>
    </w:p>
    <w:p w14:paraId="16772DE5" w14:textId="07F9B5EF" w:rsidR="00256BD8" w:rsidRPr="000C7B84" w:rsidRDefault="00256BD8" w:rsidP="00256BD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eastAsia="it-IT"/>
        </w:rPr>
      </w:pPr>
      <w:r w:rsidRPr="000C7B84">
        <w:rPr>
          <w:rFonts w:cstheme="minorHAnsi"/>
          <w:sz w:val="24"/>
          <w:szCs w:val="24"/>
          <w:lang w:eastAsia="it-IT"/>
        </w:rPr>
        <w:t xml:space="preserve">A seguito dell’istruttoria condotta dall’AIFA, conformemente ai requisiti della normativa vigente, i benefici di </w:t>
      </w:r>
      <w:r w:rsidR="00C22426" w:rsidRPr="000C7B84">
        <w:rPr>
          <w:rFonts w:cstheme="minorHAnsi"/>
          <w:color w:val="000000"/>
          <w:sz w:val="24"/>
          <w:szCs w:val="24"/>
          <w:lang w:eastAsia="it-IT"/>
        </w:rPr>
        <w:t>PROTOX</w:t>
      </w:r>
      <w:r w:rsidRPr="000C7B84">
        <w:rPr>
          <w:rFonts w:cstheme="minorHAnsi"/>
          <w:sz w:val="24"/>
          <w:szCs w:val="24"/>
          <w:lang w:eastAsia="it-IT"/>
        </w:rPr>
        <w:t xml:space="preserve"> sono superiori ai rischi individuati. La CSE ha, inoltre, definito le modalità di prescrizione di cui al punto 2) di questo Riassunto </w:t>
      </w:r>
      <w:r w:rsidR="005225D3" w:rsidRPr="000C7B84">
        <w:rPr>
          <w:rFonts w:eastAsia="Calibri" w:cstheme="minorHAnsi"/>
          <w:sz w:val="24"/>
          <w:szCs w:val="24"/>
          <w:lang w:eastAsia="it-IT"/>
        </w:rPr>
        <w:t xml:space="preserve">e la classe di rimborsabilità del medicinale, classificazione provvisoria </w:t>
      </w:r>
      <w:proofErr w:type="spellStart"/>
      <w:r w:rsidR="005225D3" w:rsidRPr="000C7B84">
        <w:rPr>
          <w:rFonts w:eastAsia="Calibri" w:cstheme="minorHAnsi"/>
          <w:sz w:val="24"/>
          <w:szCs w:val="24"/>
          <w:lang w:eastAsia="it-IT"/>
        </w:rPr>
        <w:t>Cnn</w:t>
      </w:r>
      <w:proofErr w:type="spellEnd"/>
      <w:r w:rsidR="005225D3" w:rsidRPr="000C7B84">
        <w:rPr>
          <w:rFonts w:eastAsia="Calibri" w:cstheme="minorHAnsi"/>
          <w:sz w:val="24"/>
          <w:szCs w:val="24"/>
          <w:lang w:eastAsia="it-IT"/>
        </w:rPr>
        <w:t xml:space="preserve">. </w:t>
      </w:r>
    </w:p>
    <w:p w14:paraId="305B2E68" w14:textId="77777777" w:rsidR="004241AC" w:rsidRPr="000C7B8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lang w:eastAsia="it-IT"/>
        </w:rPr>
      </w:pPr>
    </w:p>
    <w:p w14:paraId="35101E6E" w14:textId="3A8584C2" w:rsidR="004241AC" w:rsidRPr="000C7B8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0C7B84">
        <w:rPr>
          <w:rFonts w:eastAsia="Calibri" w:cstheme="minorHAnsi"/>
          <w:b/>
          <w:bCs/>
          <w:sz w:val="24"/>
          <w:szCs w:val="24"/>
          <w:lang w:eastAsia="it-IT"/>
        </w:rPr>
        <w:t xml:space="preserve">7) QUALI MISURE SONO STATE PRESE PER ASSICURARE LA SICUREZZA E L’EFFICACIA NELL’USO DI </w:t>
      </w:r>
      <w:r w:rsidR="00153B3C" w:rsidRPr="000C7B84">
        <w:rPr>
          <w:rFonts w:eastAsia="Calibri" w:cstheme="minorHAnsi"/>
          <w:b/>
          <w:color w:val="000000"/>
          <w:sz w:val="24"/>
          <w:szCs w:val="24"/>
          <w:lang w:eastAsia="it-IT"/>
        </w:rPr>
        <w:t>PROTOX</w:t>
      </w:r>
      <w:r w:rsidRPr="000C7B84">
        <w:rPr>
          <w:rFonts w:eastAsia="Calibri" w:cstheme="minorHAnsi"/>
          <w:b/>
          <w:bCs/>
          <w:color w:val="000000"/>
          <w:sz w:val="24"/>
          <w:szCs w:val="24"/>
          <w:lang w:eastAsia="it-IT"/>
        </w:rPr>
        <w:t>?</w:t>
      </w:r>
    </w:p>
    <w:p w14:paraId="466C22D9" w14:textId="345F2CB1" w:rsidR="004241AC" w:rsidRPr="000C7B84" w:rsidRDefault="00F85989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0C7B84">
        <w:rPr>
          <w:rFonts w:eastAsia="Calibri" w:cstheme="minorHAnsi"/>
          <w:sz w:val="24"/>
          <w:szCs w:val="24"/>
          <w:lang w:eastAsia="it-IT"/>
        </w:rPr>
        <w:t xml:space="preserve">Il titolare </w:t>
      </w:r>
      <w:r w:rsidR="004241AC" w:rsidRPr="000C7B84">
        <w:rPr>
          <w:rFonts w:eastAsia="Calibri" w:cstheme="minorHAnsi"/>
          <w:sz w:val="24"/>
          <w:szCs w:val="24"/>
          <w:lang w:eastAsia="it-IT"/>
        </w:rPr>
        <w:t xml:space="preserve">dell’autorizzazione all’immissione in commercio (AIC) ha presentato un Piano di Gestione del Rischio, in accordo con quanto richiesto dalla Direttiva 2001/83/CE e successivi emendamenti, descrivendo le attività di Farmacovigilanza e gli interventi finalizzati ad identificare, caratterizzare, prevenire o minimizzare i rischi correlati a </w:t>
      </w:r>
      <w:r w:rsidR="00153B3C"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="004241AC" w:rsidRPr="000C7B84">
        <w:rPr>
          <w:rFonts w:eastAsia="Calibri" w:cstheme="minorHAnsi"/>
          <w:sz w:val="24"/>
          <w:szCs w:val="24"/>
          <w:lang w:eastAsia="it-IT"/>
        </w:rPr>
        <w:t>.</w:t>
      </w:r>
    </w:p>
    <w:p w14:paraId="36511C3E" w14:textId="77777777" w:rsidR="00663BCD" w:rsidRPr="000C7B84" w:rsidRDefault="00663BCD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60B53B15" w14:textId="06DE425E" w:rsidR="004241AC" w:rsidRPr="000C7B8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0C7B84">
        <w:rPr>
          <w:rFonts w:eastAsia="Calibri" w:cstheme="minorHAnsi"/>
          <w:b/>
          <w:bCs/>
          <w:sz w:val="24"/>
          <w:szCs w:val="24"/>
          <w:lang w:eastAsia="it-IT"/>
        </w:rPr>
        <w:t>8</w:t>
      </w:r>
      <w:r w:rsidR="000F2B9E" w:rsidRPr="000C7B84">
        <w:rPr>
          <w:rFonts w:eastAsia="Calibri" w:cstheme="minorHAnsi"/>
          <w:b/>
          <w:bCs/>
          <w:sz w:val="24"/>
          <w:szCs w:val="24"/>
          <w:lang w:eastAsia="it-IT"/>
        </w:rPr>
        <w:t xml:space="preserve">) ALTRE INFORMAZIONI RELATIVE A </w:t>
      </w:r>
      <w:r w:rsidR="00153B3C" w:rsidRPr="000C7B84">
        <w:rPr>
          <w:rFonts w:eastAsia="Calibri" w:cstheme="minorHAnsi"/>
          <w:b/>
          <w:bCs/>
          <w:sz w:val="24"/>
          <w:szCs w:val="24"/>
          <w:lang w:eastAsia="it-IT"/>
        </w:rPr>
        <w:t>PROTOX</w:t>
      </w:r>
    </w:p>
    <w:p w14:paraId="23A87630" w14:textId="040E3849" w:rsidR="004241AC" w:rsidRPr="000C7B8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Cs/>
          <w:sz w:val="24"/>
          <w:szCs w:val="24"/>
          <w:lang w:eastAsia="it-IT"/>
        </w:rPr>
      </w:pPr>
      <w:r w:rsidRPr="000C7B84">
        <w:rPr>
          <w:rFonts w:eastAsia="Calibri" w:cstheme="minorHAnsi"/>
          <w:bCs/>
          <w:iCs/>
          <w:sz w:val="24"/>
          <w:szCs w:val="24"/>
          <w:lang w:eastAsia="it-IT"/>
        </w:rPr>
        <w:t xml:space="preserve">Il </w:t>
      </w:r>
      <w:r w:rsidR="00B5623D" w:rsidRPr="00E856E3">
        <w:rPr>
          <w:rFonts w:eastAsia="Calibri" w:cstheme="minorHAnsi"/>
          <w:b/>
          <w:bCs/>
          <w:iCs/>
          <w:sz w:val="24"/>
          <w:szCs w:val="24"/>
          <w:lang w:eastAsia="it-IT"/>
        </w:rPr>
        <w:t>23</w:t>
      </w:r>
      <w:r w:rsidR="000F2B9E" w:rsidRPr="00E856E3">
        <w:rPr>
          <w:rFonts w:eastAsia="Calibri" w:cstheme="minorHAnsi"/>
          <w:b/>
          <w:bCs/>
          <w:iCs/>
          <w:sz w:val="24"/>
          <w:szCs w:val="24"/>
          <w:lang w:eastAsia="it-IT"/>
        </w:rPr>
        <w:t>/04/202</w:t>
      </w:r>
      <w:r w:rsidR="00B5623D" w:rsidRPr="00E856E3">
        <w:rPr>
          <w:rFonts w:eastAsia="Calibri" w:cstheme="minorHAnsi"/>
          <w:b/>
          <w:bCs/>
          <w:iCs/>
          <w:sz w:val="24"/>
          <w:szCs w:val="24"/>
          <w:lang w:eastAsia="it-IT"/>
        </w:rPr>
        <w:t>6</w:t>
      </w:r>
      <w:r w:rsidR="000F2B9E" w:rsidRPr="000C7B84">
        <w:rPr>
          <w:rFonts w:eastAsia="Calibri" w:cstheme="minorHAnsi"/>
          <w:bCs/>
          <w:iCs/>
          <w:sz w:val="24"/>
          <w:szCs w:val="24"/>
          <w:lang w:eastAsia="it-IT"/>
        </w:rPr>
        <w:t xml:space="preserve"> </w:t>
      </w:r>
      <w:r w:rsidRPr="000C7B84">
        <w:rPr>
          <w:rFonts w:eastAsia="Calibri" w:cstheme="minorHAnsi"/>
          <w:bCs/>
          <w:iCs/>
          <w:sz w:val="24"/>
          <w:szCs w:val="24"/>
          <w:lang w:eastAsia="it-IT"/>
        </w:rPr>
        <w:t xml:space="preserve">l’AIFA ha rilasciato l’autorizzazione all’immissione in commercio di </w:t>
      </w:r>
      <w:r w:rsidR="00153B3C"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Pr="000C7B84">
        <w:rPr>
          <w:rFonts w:eastAsia="Calibri" w:cstheme="minorHAnsi"/>
          <w:bCs/>
          <w:sz w:val="24"/>
          <w:szCs w:val="24"/>
          <w:lang w:eastAsia="it-IT"/>
        </w:rPr>
        <w:t xml:space="preserve">. </w:t>
      </w:r>
    </w:p>
    <w:p w14:paraId="10CAD5F3" w14:textId="77777777" w:rsidR="004E5A39" w:rsidRPr="000C7B84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507E7BD5" w14:textId="77777777" w:rsidR="004E5A39" w:rsidRPr="000C7B84" w:rsidRDefault="004E5A39" w:rsidP="004E5A3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0C7B84">
        <w:rPr>
          <w:rFonts w:eastAsia="Calibri" w:cstheme="minorHAnsi"/>
          <w:sz w:val="24"/>
          <w:szCs w:val="24"/>
          <w:lang w:eastAsia="it-IT"/>
        </w:rPr>
        <w:t xml:space="preserve">La Relazione Pubblica di Valutazione completa segue questo Riassunto. </w:t>
      </w:r>
    </w:p>
    <w:p w14:paraId="1F6168D5" w14:textId="07D65A68" w:rsidR="004241AC" w:rsidRPr="000C7B8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0C7B84">
        <w:rPr>
          <w:rFonts w:eastAsia="Calibri" w:cstheme="minorHAnsi"/>
          <w:sz w:val="24"/>
          <w:szCs w:val="24"/>
          <w:lang w:eastAsia="it-IT"/>
        </w:rPr>
        <w:t xml:space="preserve">Per maggiori informazioni riguardo il trattamento con </w:t>
      </w:r>
      <w:r w:rsidR="00153B3C"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="007170D7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0C7B84">
        <w:rPr>
          <w:rFonts w:eastAsia="Calibri" w:cstheme="minorHAnsi"/>
          <w:sz w:val="24"/>
          <w:szCs w:val="24"/>
          <w:lang w:eastAsia="it-IT"/>
        </w:rPr>
        <w:t>si può leggere il foglio illustrativo</w:t>
      </w:r>
      <w:r w:rsidR="00D20170" w:rsidRPr="000C7B84">
        <w:rPr>
          <w:rFonts w:eastAsia="Calibri" w:cstheme="minorHAnsi"/>
          <w:sz w:val="24"/>
          <w:szCs w:val="24"/>
          <w:lang w:eastAsia="it-IT"/>
        </w:rPr>
        <w:t xml:space="preserve"> </w:t>
      </w:r>
      <w:r w:rsidR="00567615" w:rsidRPr="000C7B84">
        <w:rPr>
          <w:rFonts w:eastAsia="Calibri" w:cstheme="minorHAnsi"/>
          <w:sz w:val="24"/>
          <w:szCs w:val="24"/>
          <w:lang w:eastAsia="it-IT"/>
        </w:rPr>
        <w:t>(</w:t>
      </w:r>
      <w:hyperlink r:id="rId9" w:anchor="/it/" w:history="1">
        <w:r w:rsidR="009234CB" w:rsidRPr="000C7B84">
          <w:rPr>
            <w:rStyle w:val="Collegamentoipertestuale"/>
            <w:rFonts w:cstheme="minorHAnsi"/>
            <w:sz w:val="24"/>
            <w:szCs w:val="24"/>
          </w:rPr>
          <w:t>https://medicinali.aifa.gov.it/it/#/it/</w:t>
        </w:r>
      </w:hyperlink>
      <w:r w:rsidR="00567615" w:rsidRPr="000C7B84">
        <w:rPr>
          <w:rFonts w:eastAsia="Calibri" w:cstheme="minorHAnsi"/>
          <w:sz w:val="24"/>
          <w:szCs w:val="24"/>
          <w:lang w:eastAsia="it-IT"/>
        </w:rPr>
        <w:t xml:space="preserve">) </w:t>
      </w:r>
      <w:r w:rsidRPr="000C7B84">
        <w:rPr>
          <w:rFonts w:eastAsia="Calibri" w:cstheme="minorHAnsi"/>
          <w:sz w:val="24"/>
          <w:szCs w:val="24"/>
          <w:lang w:eastAsia="it-IT"/>
        </w:rPr>
        <w:t xml:space="preserve">o contattare il medico o </w:t>
      </w:r>
      <w:r w:rsidR="009B03DB" w:rsidRPr="000C7B84">
        <w:rPr>
          <w:rFonts w:eastAsia="Calibri" w:cstheme="minorHAnsi"/>
          <w:sz w:val="24"/>
          <w:szCs w:val="24"/>
          <w:lang w:eastAsia="it-IT"/>
        </w:rPr>
        <w:t xml:space="preserve">il </w:t>
      </w:r>
      <w:r w:rsidRPr="000C7B84">
        <w:rPr>
          <w:rFonts w:eastAsia="Calibri" w:cstheme="minorHAnsi"/>
          <w:sz w:val="24"/>
          <w:szCs w:val="24"/>
          <w:lang w:eastAsia="it-IT"/>
        </w:rPr>
        <w:t xml:space="preserve">farmacista. </w:t>
      </w:r>
    </w:p>
    <w:p w14:paraId="76FF6DAC" w14:textId="77777777" w:rsidR="004241AC" w:rsidRPr="000C7B84" w:rsidRDefault="004241AC" w:rsidP="004241AC">
      <w:pPr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</w:p>
    <w:p w14:paraId="401F4576" w14:textId="086304DD" w:rsidR="004241AC" w:rsidRPr="000C7B84" w:rsidRDefault="004241AC" w:rsidP="004241AC">
      <w:pPr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0C7B84">
        <w:rPr>
          <w:rFonts w:eastAsia="Calibri" w:cstheme="minorHAnsi"/>
          <w:sz w:val="24"/>
          <w:szCs w:val="24"/>
          <w:lang w:eastAsia="it-IT"/>
        </w:rPr>
        <w:t xml:space="preserve">Questo riassunto è stato redatto in </w:t>
      </w:r>
      <w:r w:rsidR="00B1186F" w:rsidRPr="000C7B84">
        <w:rPr>
          <w:rFonts w:eastAsia="Calibri" w:cstheme="minorHAnsi"/>
          <w:sz w:val="24"/>
          <w:szCs w:val="24"/>
          <w:lang w:eastAsia="it-IT"/>
        </w:rPr>
        <w:t xml:space="preserve">data </w:t>
      </w:r>
      <w:r w:rsidR="00FC27BB" w:rsidRPr="000C7B84">
        <w:rPr>
          <w:rFonts w:eastAsia="Calibri" w:cstheme="minorHAnsi"/>
          <w:sz w:val="24"/>
          <w:szCs w:val="24"/>
          <w:lang w:eastAsia="it-IT"/>
        </w:rPr>
        <w:t>06</w:t>
      </w:r>
      <w:r w:rsidR="00280B2E" w:rsidRPr="000C7B84">
        <w:rPr>
          <w:rFonts w:eastAsia="Calibri" w:cstheme="minorHAnsi"/>
          <w:sz w:val="24"/>
          <w:szCs w:val="24"/>
          <w:lang w:eastAsia="it-IT"/>
        </w:rPr>
        <w:t>/0</w:t>
      </w:r>
      <w:r w:rsidR="00FC27BB" w:rsidRPr="000C7B84">
        <w:rPr>
          <w:rFonts w:eastAsia="Calibri" w:cstheme="minorHAnsi"/>
          <w:sz w:val="24"/>
          <w:szCs w:val="24"/>
          <w:lang w:eastAsia="it-IT"/>
        </w:rPr>
        <w:t>8</w:t>
      </w:r>
      <w:r w:rsidR="00280B2E" w:rsidRPr="000C7B84">
        <w:rPr>
          <w:rFonts w:eastAsia="Calibri" w:cstheme="minorHAnsi"/>
          <w:sz w:val="24"/>
          <w:szCs w:val="24"/>
          <w:lang w:eastAsia="it-IT"/>
        </w:rPr>
        <w:t>/202</w:t>
      </w:r>
      <w:r w:rsidR="00B5623D" w:rsidRPr="000C7B84">
        <w:rPr>
          <w:rFonts w:eastAsia="Calibri" w:cstheme="minorHAnsi"/>
          <w:sz w:val="24"/>
          <w:szCs w:val="24"/>
          <w:lang w:eastAsia="it-IT"/>
        </w:rPr>
        <w:t>6</w:t>
      </w:r>
      <w:r w:rsidRPr="000C7B84">
        <w:rPr>
          <w:rFonts w:eastAsia="Calibri" w:cstheme="minorHAnsi"/>
          <w:sz w:val="24"/>
          <w:szCs w:val="24"/>
          <w:lang w:eastAsia="it-IT"/>
        </w:rPr>
        <w:t xml:space="preserve">. </w:t>
      </w:r>
    </w:p>
    <w:p w14:paraId="0AB8A1F4" w14:textId="77777777" w:rsidR="004E5A39" w:rsidRPr="000C7B84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2B1EBFC4" w14:textId="77777777" w:rsidR="00A963F2" w:rsidRPr="000C7B84" w:rsidRDefault="00A963F2" w:rsidP="00E86776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22710185" w14:textId="63D251D7" w:rsidR="000C1389" w:rsidRPr="000C7B84" w:rsidRDefault="000C1389" w:rsidP="00E86776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4C2F50FC" w14:textId="0A54FF8B" w:rsidR="004E5A39" w:rsidRPr="000C7B84" w:rsidRDefault="004E5A39" w:rsidP="00E86776">
      <w:pPr>
        <w:jc w:val="center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RELAZIONE PUBBLICA DI VALUTAZIONE</w:t>
      </w:r>
    </w:p>
    <w:p w14:paraId="4E42BF98" w14:textId="77777777" w:rsidR="004E5A39" w:rsidRPr="000C7B84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1BD0135" w14:textId="77777777" w:rsidR="004E5A39" w:rsidRPr="000C7B84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7AE44A08" w14:textId="77777777" w:rsidR="004E5A39" w:rsidRPr="000C7B84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22F917CF" w14:textId="77777777" w:rsidR="004E5A39" w:rsidRPr="000C7B84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9132043" w14:textId="77777777" w:rsidR="004E5A39" w:rsidRPr="000C7B84" w:rsidRDefault="004E5A39" w:rsidP="004E5A39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INDICE</w:t>
      </w:r>
    </w:p>
    <w:p w14:paraId="7DC98FCA" w14:textId="77777777" w:rsidR="004E5A39" w:rsidRPr="000C7B84" w:rsidRDefault="004E5A39" w:rsidP="004E5A3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89E3657" w14:textId="77777777" w:rsidR="004E5A39" w:rsidRPr="000C7B84" w:rsidRDefault="004E5A39" w:rsidP="004E5A3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897681F" w14:textId="77777777" w:rsidR="004E5A39" w:rsidRPr="000C7B84" w:rsidRDefault="004E5A39" w:rsidP="004E5A3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3822FCC" w14:textId="77777777" w:rsidR="004E5A39" w:rsidRPr="000C7B84" w:rsidRDefault="004E5A39" w:rsidP="004E5A39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INTRODUZIONE</w:t>
      </w:r>
    </w:p>
    <w:p w14:paraId="44708A56" w14:textId="77777777" w:rsidR="004E5A39" w:rsidRPr="000C7B84" w:rsidRDefault="004E5A39" w:rsidP="004E5A39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C77EE4B" w14:textId="77777777" w:rsidR="004E5A39" w:rsidRPr="000C7B84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ASPETTI DI QUALITA’</w:t>
      </w:r>
    </w:p>
    <w:p w14:paraId="0FFD800D" w14:textId="77777777" w:rsidR="004E5A39" w:rsidRPr="000C7B84" w:rsidRDefault="004E5A39" w:rsidP="004E5A39">
      <w:pPr>
        <w:pStyle w:val="Paragrafoelenco"/>
        <w:rPr>
          <w:rFonts w:cstheme="minorHAnsi"/>
          <w:b/>
          <w:sz w:val="24"/>
          <w:szCs w:val="24"/>
        </w:rPr>
      </w:pPr>
    </w:p>
    <w:p w14:paraId="0B262D2C" w14:textId="77777777" w:rsidR="004E5A39" w:rsidRPr="000C7B84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ASPETTI NON CLINICI</w:t>
      </w:r>
    </w:p>
    <w:p w14:paraId="529F982C" w14:textId="77777777" w:rsidR="004E5A39" w:rsidRPr="000C7B84" w:rsidRDefault="004E5A39" w:rsidP="004E5A39">
      <w:pPr>
        <w:pStyle w:val="Paragrafoelenco"/>
        <w:rPr>
          <w:rFonts w:cstheme="minorHAnsi"/>
          <w:b/>
          <w:sz w:val="24"/>
          <w:szCs w:val="24"/>
        </w:rPr>
      </w:pPr>
    </w:p>
    <w:p w14:paraId="4F9DA9BF" w14:textId="77777777" w:rsidR="004E5A39" w:rsidRPr="000C7B84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ASPETTI CLINICI</w:t>
      </w:r>
    </w:p>
    <w:p w14:paraId="6E85F573" w14:textId="77777777" w:rsidR="004E5A39" w:rsidRPr="000C7B84" w:rsidRDefault="004E5A39" w:rsidP="004E5A39">
      <w:pPr>
        <w:pStyle w:val="Paragrafoelenco"/>
        <w:rPr>
          <w:rFonts w:cstheme="minorHAnsi"/>
          <w:b/>
          <w:sz w:val="24"/>
          <w:szCs w:val="24"/>
        </w:rPr>
      </w:pPr>
    </w:p>
    <w:p w14:paraId="242640A7" w14:textId="77777777" w:rsidR="004E5A39" w:rsidRPr="000C7B84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CONSULTAZIONE SUL FOGLIO ILLUSTRATIVO</w:t>
      </w:r>
    </w:p>
    <w:p w14:paraId="6A8B1484" w14:textId="77777777" w:rsidR="004E5A39" w:rsidRPr="000C7B84" w:rsidRDefault="004E5A39" w:rsidP="004E5A39">
      <w:pPr>
        <w:pStyle w:val="Paragrafoelenco"/>
        <w:spacing w:after="0" w:line="240" w:lineRule="auto"/>
        <w:ind w:left="1080"/>
        <w:jc w:val="both"/>
        <w:rPr>
          <w:rFonts w:cstheme="minorHAnsi"/>
          <w:b/>
          <w:sz w:val="24"/>
          <w:szCs w:val="24"/>
        </w:rPr>
      </w:pPr>
    </w:p>
    <w:p w14:paraId="749F0196" w14:textId="77777777" w:rsidR="004E5A39" w:rsidRPr="000C7B84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CONCLUSIONI, VALUTAZIONE DEL RAPPORTO BENEFICIO/RISCHIO E RACCOMANDAZIONI</w:t>
      </w:r>
    </w:p>
    <w:p w14:paraId="130CDE71" w14:textId="77777777" w:rsidR="004E5A39" w:rsidRPr="000C7B84" w:rsidRDefault="004E5A39" w:rsidP="004E5A39">
      <w:pPr>
        <w:rPr>
          <w:rFonts w:cstheme="minorHAnsi"/>
          <w:sz w:val="24"/>
          <w:szCs w:val="24"/>
        </w:rPr>
      </w:pPr>
    </w:p>
    <w:p w14:paraId="6FBE4DC5" w14:textId="77777777" w:rsidR="004E5A39" w:rsidRPr="000C7B84" w:rsidRDefault="004E5A39" w:rsidP="004E5A39">
      <w:pPr>
        <w:rPr>
          <w:rFonts w:cstheme="minorHAnsi"/>
          <w:sz w:val="24"/>
          <w:szCs w:val="24"/>
        </w:rPr>
      </w:pPr>
    </w:p>
    <w:p w14:paraId="72BA6BA9" w14:textId="77777777" w:rsidR="004E5A39" w:rsidRPr="000C7B84" w:rsidRDefault="004E5A39" w:rsidP="004E5A39">
      <w:pPr>
        <w:rPr>
          <w:rFonts w:cstheme="minorHAnsi"/>
          <w:sz w:val="24"/>
          <w:szCs w:val="24"/>
        </w:rPr>
      </w:pPr>
    </w:p>
    <w:p w14:paraId="74C11E37" w14:textId="77777777" w:rsidR="004E5A39" w:rsidRPr="000C7B84" w:rsidRDefault="004E5A39" w:rsidP="004E5A39">
      <w:pPr>
        <w:rPr>
          <w:rFonts w:cstheme="minorHAnsi"/>
          <w:sz w:val="24"/>
          <w:szCs w:val="24"/>
        </w:rPr>
      </w:pPr>
    </w:p>
    <w:p w14:paraId="2FB10C82" w14:textId="77777777" w:rsidR="004E5A39" w:rsidRPr="000C7B84" w:rsidRDefault="004E5A39" w:rsidP="004E5A39">
      <w:pPr>
        <w:rPr>
          <w:rFonts w:cstheme="minorHAnsi"/>
          <w:sz w:val="24"/>
          <w:szCs w:val="24"/>
        </w:rPr>
      </w:pPr>
    </w:p>
    <w:p w14:paraId="363999B0" w14:textId="77777777" w:rsidR="004E5A39" w:rsidRPr="000C7B84" w:rsidRDefault="004E5A39" w:rsidP="004E5A39">
      <w:pPr>
        <w:rPr>
          <w:rFonts w:cstheme="minorHAnsi"/>
          <w:sz w:val="24"/>
          <w:szCs w:val="24"/>
        </w:rPr>
      </w:pPr>
    </w:p>
    <w:p w14:paraId="5AC9D332" w14:textId="77777777" w:rsidR="004E5A39" w:rsidRPr="000C7B84" w:rsidRDefault="004E5A39" w:rsidP="004E5A39">
      <w:pPr>
        <w:rPr>
          <w:rFonts w:cstheme="minorHAnsi"/>
          <w:sz w:val="24"/>
          <w:szCs w:val="24"/>
        </w:rPr>
      </w:pPr>
    </w:p>
    <w:p w14:paraId="0BB81257" w14:textId="77777777" w:rsidR="004E5A39" w:rsidRPr="000C7B84" w:rsidRDefault="004E5A39" w:rsidP="004E5A39">
      <w:pPr>
        <w:rPr>
          <w:rFonts w:cstheme="minorHAnsi"/>
          <w:sz w:val="24"/>
          <w:szCs w:val="24"/>
        </w:rPr>
      </w:pPr>
    </w:p>
    <w:p w14:paraId="2FA439AC" w14:textId="77777777" w:rsidR="004E5A39" w:rsidRPr="000C7B84" w:rsidRDefault="004E5A39" w:rsidP="004E5A39">
      <w:pPr>
        <w:rPr>
          <w:rFonts w:cstheme="minorHAnsi"/>
          <w:sz w:val="24"/>
          <w:szCs w:val="24"/>
        </w:rPr>
      </w:pPr>
    </w:p>
    <w:p w14:paraId="4A453973" w14:textId="77777777" w:rsidR="004E5A39" w:rsidRPr="000C7B84" w:rsidRDefault="004E5A39" w:rsidP="004E5A39">
      <w:pPr>
        <w:rPr>
          <w:rFonts w:cstheme="minorHAnsi"/>
          <w:sz w:val="24"/>
          <w:szCs w:val="24"/>
        </w:rPr>
      </w:pPr>
    </w:p>
    <w:p w14:paraId="5CB9D2EF" w14:textId="77777777" w:rsidR="004E5A39" w:rsidRPr="000C7B84" w:rsidRDefault="004E5A39" w:rsidP="004E5A39">
      <w:pPr>
        <w:rPr>
          <w:rFonts w:cstheme="minorHAnsi"/>
          <w:sz w:val="24"/>
          <w:szCs w:val="24"/>
        </w:rPr>
      </w:pPr>
    </w:p>
    <w:p w14:paraId="5FDDF2B7" w14:textId="77777777" w:rsidR="00EF6711" w:rsidRPr="000C7B84" w:rsidRDefault="00EF6711" w:rsidP="004E5A39">
      <w:pPr>
        <w:rPr>
          <w:rFonts w:cstheme="minorHAnsi"/>
          <w:sz w:val="24"/>
          <w:szCs w:val="24"/>
        </w:rPr>
      </w:pPr>
    </w:p>
    <w:p w14:paraId="38AD82D2" w14:textId="1FC844B4" w:rsidR="00EF6711" w:rsidRDefault="00EF6711" w:rsidP="004E5A39">
      <w:pPr>
        <w:rPr>
          <w:rFonts w:cstheme="minorHAnsi"/>
          <w:sz w:val="24"/>
          <w:szCs w:val="24"/>
        </w:rPr>
      </w:pPr>
    </w:p>
    <w:p w14:paraId="5AC88A03" w14:textId="77777777" w:rsidR="00DF3193" w:rsidRPr="000C7B84" w:rsidRDefault="00DF3193" w:rsidP="004E5A39">
      <w:pPr>
        <w:rPr>
          <w:rFonts w:cstheme="minorHAnsi"/>
          <w:sz w:val="24"/>
          <w:szCs w:val="24"/>
        </w:rPr>
      </w:pPr>
    </w:p>
    <w:p w14:paraId="738088D4" w14:textId="77777777" w:rsidR="004E5A39" w:rsidRPr="000C7B84" w:rsidRDefault="004E5A39" w:rsidP="00EF6711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lastRenderedPageBreak/>
        <w:t>INTRODUZIONE</w:t>
      </w:r>
    </w:p>
    <w:p w14:paraId="250E255A" w14:textId="23E5AB13" w:rsidR="004E5A39" w:rsidRPr="000C7B84" w:rsidRDefault="004E5A39" w:rsidP="00EF671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Sulla base dei dati di qualità, sicurezza ed efficacia, l’AIFA ha rilasciato a </w:t>
      </w:r>
      <w:r w:rsidR="006A0551" w:rsidRPr="006A0551">
        <w:rPr>
          <w:rFonts w:cstheme="minorHAnsi"/>
          <w:sz w:val="24"/>
          <w:szCs w:val="24"/>
        </w:rPr>
        <w:t xml:space="preserve">SICO </w:t>
      </w:r>
      <w:proofErr w:type="spellStart"/>
      <w:r w:rsidR="006A0551" w:rsidRPr="006A0551">
        <w:rPr>
          <w:rFonts w:cstheme="minorHAnsi"/>
          <w:sz w:val="24"/>
          <w:szCs w:val="24"/>
        </w:rPr>
        <w:t>SpA</w:t>
      </w:r>
      <w:proofErr w:type="spellEnd"/>
      <w:r w:rsidR="006A0551" w:rsidRPr="006A0551">
        <w:rPr>
          <w:rFonts w:cstheme="minorHAnsi"/>
          <w:sz w:val="24"/>
          <w:szCs w:val="24"/>
        </w:rPr>
        <w:t xml:space="preserve"> </w:t>
      </w:r>
      <w:r w:rsidRPr="000C7B84">
        <w:rPr>
          <w:rFonts w:cstheme="minorHAnsi"/>
          <w:sz w:val="24"/>
          <w:szCs w:val="24"/>
        </w:rPr>
        <w:t xml:space="preserve">l’autorizzazione all’immissione in commercio (AIC) per il medicinale </w:t>
      </w:r>
      <w:r w:rsidR="00153B3C"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="007170D7" w:rsidRPr="000C7B84">
        <w:rPr>
          <w:rFonts w:eastAsia="Calibri" w:cstheme="minorHAnsi"/>
          <w:bCs/>
          <w:iCs/>
          <w:sz w:val="24"/>
          <w:szCs w:val="24"/>
          <w:lang w:eastAsia="it-IT"/>
        </w:rPr>
        <w:t xml:space="preserve"> </w:t>
      </w:r>
      <w:r w:rsidRPr="000C7B84">
        <w:rPr>
          <w:rFonts w:eastAsia="Calibri" w:cstheme="minorHAnsi"/>
          <w:bCs/>
          <w:iCs/>
          <w:sz w:val="24"/>
          <w:szCs w:val="24"/>
          <w:lang w:eastAsia="it-IT"/>
        </w:rPr>
        <w:t>il</w:t>
      </w:r>
      <w:r w:rsidR="006706DF" w:rsidRPr="000C7B84">
        <w:rPr>
          <w:rFonts w:eastAsia="Calibri" w:cstheme="minorHAnsi"/>
          <w:bCs/>
          <w:iCs/>
          <w:sz w:val="24"/>
          <w:szCs w:val="24"/>
          <w:lang w:eastAsia="it-IT"/>
        </w:rPr>
        <w:t xml:space="preserve"> </w:t>
      </w:r>
      <w:r w:rsidR="008011E6" w:rsidRPr="00E856E3">
        <w:rPr>
          <w:rFonts w:eastAsia="Calibri" w:cstheme="minorHAnsi"/>
          <w:b/>
          <w:bCs/>
          <w:iCs/>
          <w:sz w:val="24"/>
          <w:szCs w:val="24"/>
          <w:lang w:eastAsia="it-IT"/>
        </w:rPr>
        <w:t>23/04/2026</w:t>
      </w:r>
      <w:r w:rsidR="008011E6" w:rsidRPr="008011E6">
        <w:rPr>
          <w:rFonts w:eastAsia="Calibri" w:cstheme="minorHAnsi"/>
          <w:bCs/>
          <w:iCs/>
          <w:sz w:val="24"/>
          <w:szCs w:val="24"/>
          <w:lang w:eastAsia="it-IT"/>
        </w:rPr>
        <w:t xml:space="preserve"> (</w:t>
      </w:r>
      <w:r w:rsidR="008011E6" w:rsidRPr="008011E6">
        <w:rPr>
          <w:rFonts w:cstheme="minorHAnsi"/>
          <w:sz w:val="24"/>
          <w:szCs w:val="24"/>
        </w:rPr>
        <w:t>G.U. n.98 del 29/04/2026).</w:t>
      </w:r>
      <w:bookmarkStart w:id="1" w:name="_GoBack"/>
      <w:bookmarkEnd w:id="1"/>
    </w:p>
    <w:p w14:paraId="2ABBBCBF" w14:textId="77777777" w:rsidR="004E5A39" w:rsidRPr="000C7B84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F44B710" w14:textId="72A667F5" w:rsidR="004E5A39" w:rsidRPr="000C7B84" w:rsidRDefault="00153B3C" w:rsidP="00EF671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="007170D7" w:rsidRPr="000C7B84">
        <w:rPr>
          <w:rFonts w:eastAsia="Calibri" w:cstheme="minorHAnsi"/>
          <w:bCs/>
          <w:iCs/>
          <w:sz w:val="24"/>
          <w:szCs w:val="24"/>
          <w:lang w:eastAsia="it-IT"/>
        </w:rPr>
        <w:t xml:space="preserve"> </w:t>
      </w:r>
      <w:r w:rsidR="006706DF" w:rsidRPr="000C7B84">
        <w:rPr>
          <w:rFonts w:eastAsia="Calibri" w:cstheme="minorHAnsi"/>
          <w:color w:val="000000"/>
          <w:sz w:val="24"/>
          <w:szCs w:val="24"/>
          <w:lang w:eastAsia="it-IT"/>
        </w:rPr>
        <w:t>è per uso esclusivo di specialisti in anestesia e rianimazione, in odontoiatria e odontoiatri.</w:t>
      </w:r>
    </w:p>
    <w:p w14:paraId="0A2FCC30" w14:textId="77777777" w:rsidR="00EF6711" w:rsidRPr="000C7B84" w:rsidRDefault="00EF6711" w:rsidP="00EF671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6B90C27" w14:textId="0179EADB" w:rsidR="004E5A39" w:rsidRPr="000C7B84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Questa procedura è stata presentata ai sensi dell’art. </w:t>
      </w:r>
      <w:r w:rsidR="00C0480B" w:rsidRPr="000C7B84">
        <w:rPr>
          <w:rFonts w:cstheme="minorHAnsi"/>
          <w:sz w:val="24"/>
          <w:szCs w:val="24"/>
        </w:rPr>
        <w:t>10</w:t>
      </w:r>
      <w:r w:rsidR="00407E8F" w:rsidRPr="000C7B84">
        <w:rPr>
          <w:rFonts w:cstheme="minorHAnsi"/>
          <w:sz w:val="24"/>
          <w:szCs w:val="24"/>
        </w:rPr>
        <w:t>a</w:t>
      </w:r>
      <w:r w:rsidRPr="000C7B84">
        <w:rPr>
          <w:rFonts w:cstheme="minorHAnsi"/>
          <w:sz w:val="24"/>
          <w:szCs w:val="24"/>
        </w:rPr>
        <w:t xml:space="preserve"> della Direttiva 2001/83/EU </w:t>
      </w:r>
      <w:proofErr w:type="spellStart"/>
      <w:r w:rsidRPr="000C7B84">
        <w:rPr>
          <w:rFonts w:cstheme="minorHAnsi"/>
          <w:sz w:val="24"/>
          <w:szCs w:val="24"/>
        </w:rPr>
        <w:t>s</w:t>
      </w:r>
      <w:r w:rsidR="00850716" w:rsidRPr="000C7B84">
        <w:rPr>
          <w:rFonts w:cstheme="minorHAnsi"/>
          <w:sz w:val="24"/>
          <w:szCs w:val="24"/>
        </w:rPr>
        <w:t>s</w:t>
      </w:r>
      <w:r w:rsidRPr="000C7B84">
        <w:rPr>
          <w:rFonts w:cstheme="minorHAnsi"/>
          <w:sz w:val="24"/>
          <w:szCs w:val="24"/>
        </w:rPr>
        <w:t>.</w:t>
      </w:r>
      <w:proofErr w:type="gramStart"/>
      <w:r w:rsidRPr="000C7B84">
        <w:rPr>
          <w:rFonts w:cstheme="minorHAnsi"/>
          <w:sz w:val="24"/>
          <w:szCs w:val="24"/>
        </w:rPr>
        <w:t>m</w:t>
      </w:r>
      <w:r w:rsidR="00850716" w:rsidRPr="000C7B84">
        <w:rPr>
          <w:rFonts w:cstheme="minorHAnsi"/>
          <w:sz w:val="24"/>
          <w:szCs w:val="24"/>
        </w:rPr>
        <w:t>m</w:t>
      </w:r>
      <w:r w:rsidRPr="000C7B84">
        <w:rPr>
          <w:rFonts w:cstheme="minorHAnsi"/>
          <w:sz w:val="24"/>
          <w:szCs w:val="24"/>
        </w:rPr>
        <w:t>.i</w:t>
      </w:r>
      <w:r w:rsidR="00850716" w:rsidRPr="000C7B84">
        <w:rPr>
          <w:rFonts w:cstheme="minorHAnsi"/>
          <w:sz w:val="24"/>
          <w:szCs w:val="24"/>
        </w:rPr>
        <w:t>i</w:t>
      </w:r>
      <w:proofErr w:type="spellEnd"/>
      <w:r w:rsidRPr="000C7B84">
        <w:rPr>
          <w:rFonts w:cstheme="minorHAnsi"/>
          <w:sz w:val="24"/>
          <w:szCs w:val="24"/>
        </w:rPr>
        <w:t>.</w:t>
      </w:r>
      <w:proofErr w:type="gramEnd"/>
      <w:r w:rsidR="00C0480B" w:rsidRPr="000C7B84">
        <w:rPr>
          <w:rFonts w:cstheme="minorHAnsi"/>
          <w:sz w:val="24"/>
          <w:szCs w:val="24"/>
        </w:rPr>
        <w:t xml:space="preserve"> (</w:t>
      </w:r>
      <w:proofErr w:type="spellStart"/>
      <w:r w:rsidR="00407E8F" w:rsidRPr="000C7B84">
        <w:rPr>
          <w:rFonts w:cstheme="minorHAnsi"/>
          <w:sz w:val="24"/>
          <w:szCs w:val="24"/>
        </w:rPr>
        <w:t>well</w:t>
      </w:r>
      <w:proofErr w:type="spellEnd"/>
      <w:r w:rsidR="00407E8F" w:rsidRPr="000C7B84">
        <w:rPr>
          <w:rFonts w:cstheme="minorHAnsi"/>
          <w:sz w:val="24"/>
          <w:szCs w:val="24"/>
        </w:rPr>
        <w:t xml:space="preserve"> </w:t>
      </w:r>
      <w:proofErr w:type="spellStart"/>
      <w:r w:rsidR="00407E8F" w:rsidRPr="000C7B84">
        <w:rPr>
          <w:rFonts w:cstheme="minorHAnsi"/>
          <w:sz w:val="24"/>
          <w:szCs w:val="24"/>
        </w:rPr>
        <w:t>established</w:t>
      </w:r>
      <w:proofErr w:type="spellEnd"/>
      <w:r w:rsidR="00407E8F" w:rsidRPr="000C7B84">
        <w:rPr>
          <w:rFonts w:cstheme="minorHAnsi"/>
          <w:sz w:val="24"/>
          <w:szCs w:val="24"/>
        </w:rPr>
        <w:t xml:space="preserve"> use</w:t>
      </w:r>
      <w:r w:rsidR="00F964BE" w:rsidRPr="000C7B84">
        <w:rPr>
          <w:rFonts w:cstheme="minorHAnsi"/>
          <w:sz w:val="24"/>
          <w:szCs w:val="24"/>
        </w:rPr>
        <w:t>)</w:t>
      </w:r>
      <w:r w:rsidR="00B6738E" w:rsidRPr="000C7B84">
        <w:rPr>
          <w:rFonts w:cstheme="minorHAnsi"/>
          <w:sz w:val="24"/>
          <w:szCs w:val="24"/>
        </w:rPr>
        <w:t>.</w:t>
      </w:r>
    </w:p>
    <w:p w14:paraId="709B1232" w14:textId="1C40AF50" w:rsidR="0098470E" w:rsidRPr="000C7B84" w:rsidRDefault="0098470E" w:rsidP="00EF6711">
      <w:pPr>
        <w:widowControl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</w:p>
    <w:p w14:paraId="08160E97" w14:textId="1073F175" w:rsidR="004E5A39" w:rsidRPr="000C7B84" w:rsidRDefault="00153B3C" w:rsidP="00EF671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  <w:lang w:eastAsia="it-IT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="0042214D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4E5A39" w:rsidRPr="000C7B84">
        <w:rPr>
          <w:rFonts w:eastAsia="Calibri" w:cstheme="minorHAnsi"/>
          <w:sz w:val="24"/>
          <w:szCs w:val="24"/>
          <w:lang w:eastAsia="it-IT"/>
        </w:rPr>
        <w:t xml:space="preserve">è un medicinale </w:t>
      </w:r>
      <w:r w:rsidR="0042214D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contenente in associazione due principi attivi, </w:t>
      </w:r>
      <w:r w:rsidR="000C5F5E" w:rsidRPr="000C7B84">
        <w:rPr>
          <w:rFonts w:eastAsia="Calibri" w:cstheme="minorHAnsi"/>
          <w:bCs/>
          <w:color w:val="000000"/>
          <w:sz w:val="24"/>
          <w:szCs w:val="24"/>
          <w:lang w:eastAsia="it-IT"/>
        </w:rPr>
        <w:t xml:space="preserve">ossigeno </w:t>
      </w:r>
      <w:r w:rsidR="0042214D" w:rsidRPr="000C7B84">
        <w:rPr>
          <w:rFonts w:eastAsia="Calibri" w:cstheme="minorHAnsi"/>
          <w:bCs/>
          <w:color w:val="000000"/>
          <w:sz w:val="24"/>
          <w:szCs w:val="24"/>
          <w:lang w:eastAsia="it-IT"/>
        </w:rPr>
        <w:t xml:space="preserve">e </w:t>
      </w:r>
      <w:r w:rsidR="000C5F5E" w:rsidRPr="000C7B84">
        <w:rPr>
          <w:rFonts w:eastAsia="Calibri" w:cstheme="minorHAnsi"/>
          <w:bCs/>
          <w:color w:val="000000"/>
          <w:sz w:val="24"/>
          <w:szCs w:val="24"/>
          <w:lang w:eastAsia="it-IT"/>
        </w:rPr>
        <w:t>protossido di azoto.</w:t>
      </w:r>
      <w:r w:rsidR="004E5A39" w:rsidRPr="000C7B84">
        <w:rPr>
          <w:rFonts w:eastAsia="Calibri" w:cstheme="minorHAnsi"/>
          <w:sz w:val="24"/>
          <w:szCs w:val="24"/>
          <w:lang w:eastAsia="it-IT"/>
        </w:rPr>
        <w:t xml:space="preserve"> </w:t>
      </w:r>
    </w:p>
    <w:p w14:paraId="513A653C" w14:textId="77777777" w:rsidR="004E5A39" w:rsidRPr="000C7B84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  <w:highlight w:val="yellow"/>
        </w:rPr>
      </w:pPr>
    </w:p>
    <w:p w14:paraId="484A9958" w14:textId="4C49711B" w:rsidR="00AD4A22" w:rsidRPr="000C7B84" w:rsidRDefault="00153B3C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Calibri" w:cstheme="minorHAnsi"/>
          <w:sz w:val="24"/>
          <w:szCs w:val="24"/>
          <w:lang w:eastAsia="it-IT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="004E5A39" w:rsidRPr="000C7B84">
        <w:rPr>
          <w:rFonts w:eastAsia="Calibri" w:cstheme="minorHAnsi"/>
          <w:bCs/>
          <w:sz w:val="24"/>
          <w:szCs w:val="24"/>
          <w:lang w:eastAsia="it-IT"/>
        </w:rPr>
        <w:t xml:space="preserve">, </w:t>
      </w:r>
      <w:r w:rsidR="004E5A39" w:rsidRPr="000C7B84">
        <w:rPr>
          <w:rFonts w:cstheme="minorHAnsi"/>
          <w:sz w:val="24"/>
          <w:szCs w:val="24"/>
        </w:rPr>
        <w:t>il cui c</w:t>
      </w:r>
      <w:r w:rsidR="004E5A39" w:rsidRPr="000C7B84">
        <w:rPr>
          <w:rFonts w:cstheme="minorHAnsi"/>
          <w:iCs/>
          <w:sz w:val="24"/>
          <w:szCs w:val="24"/>
        </w:rPr>
        <w:t xml:space="preserve">odice ATC è </w:t>
      </w:r>
      <w:r w:rsidR="00AD4A22" w:rsidRPr="000C7B84">
        <w:rPr>
          <w:rFonts w:cstheme="minorHAnsi"/>
          <w:sz w:val="24"/>
          <w:szCs w:val="24"/>
        </w:rPr>
        <w:t>N01AX</w:t>
      </w:r>
      <w:r w:rsidR="002E3566" w:rsidRPr="000C7B84">
        <w:rPr>
          <w:rFonts w:cstheme="minorHAnsi"/>
          <w:sz w:val="24"/>
          <w:szCs w:val="24"/>
        </w:rPr>
        <w:t>6</w:t>
      </w:r>
      <w:r w:rsidR="00AD4A22" w:rsidRPr="000C7B84">
        <w:rPr>
          <w:rFonts w:cstheme="minorHAnsi"/>
          <w:sz w:val="24"/>
          <w:szCs w:val="24"/>
        </w:rPr>
        <w:t>3</w:t>
      </w:r>
      <w:r w:rsidR="004E5A39" w:rsidRPr="000C7B84">
        <w:rPr>
          <w:rFonts w:eastAsia="DejaVuSans" w:cstheme="minorHAnsi"/>
          <w:sz w:val="24"/>
          <w:szCs w:val="24"/>
        </w:rPr>
        <w:t>,</w:t>
      </w:r>
      <w:r w:rsidR="004E5A39" w:rsidRPr="000C7B84">
        <w:rPr>
          <w:rFonts w:eastAsia="Calibri" w:cstheme="minorHAnsi"/>
          <w:bCs/>
          <w:sz w:val="24"/>
          <w:szCs w:val="24"/>
          <w:lang w:eastAsia="it-IT"/>
        </w:rPr>
        <w:t xml:space="preserve"> </w:t>
      </w:r>
      <w:r w:rsidR="004E5A39" w:rsidRPr="000C7B84">
        <w:rPr>
          <w:rFonts w:eastAsia="Calibri" w:cstheme="minorHAnsi"/>
          <w:sz w:val="24"/>
          <w:szCs w:val="24"/>
          <w:lang w:eastAsia="it-IT"/>
        </w:rPr>
        <w:t xml:space="preserve">contiene </w:t>
      </w:r>
      <w:r w:rsidR="00AD4A22" w:rsidRPr="000C7B84">
        <w:rPr>
          <w:rFonts w:eastAsia="Calibri" w:cstheme="minorHAnsi"/>
          <w:sz w:val="24"/>
          <w:szCs w:val="24"/>
          <w:lang w:eastAsia="it-IT"/>
        </w:rPr>
        <w:t>i</w:t>
      </w:r>
      <w:r w:rsidR="004E5A39" w:rsidRPr="000C7B84">
        <w:rPr>
          <w:rFonts w:eastAsia="Calibri" w:cstheme="minorHAnsi"/>
          <w:sz w:val="24"/>
          <w:szCs w:val="24"/>
          <w:lang w:eastAsia="it-IT"/>
        </w:rPr>
        <w:t xml:space="preserve"> principi attiv</w:t>
      </w:r>
      <w:r w:rsidR="00AD4A22" w:rsidRPr="000C7B84">
        <w:rPr>
          <w:rFonts w:eastAsia="Calibri" w:cstheme="minorHAnsi"/>
          <w:sz w:val="24"/>
          <w:szCs w:val="24"/>
          <w:lang w:eastAsia="it-IT"/>
        </w:rPr>
        <w:t xml:space="preserve">i ossigeno </w:t>
      </w:r>
      <w:r w:rsidR="00187CD1" w:rsidRPr="000C7B84">
        <w:rPr>
          <w:rFonts w:eastAsia="Calibri" w:cstheme="minorHAnsi"/>
          <w:sz w:val="24"/>
          <w:szCs w:val="24"/>
          <w:lang w:eastAsia="it-IT"/>
        </w:rPr>
        <w:t xml:space="preserve">al 50% </w:t>
      </w:r>
      <w:r w:rsidR="00AD4A22" w:rsidRPr="000C7B84">
        <w:rPr>
          <w:rFonts w:eastAsia="Calibri" w:cstheme="minorHAnsi"/>
          <w:sz w:val="24"/>
          <w:szCs w:val="24"/>
          <w:lang w:eastAsia="it-IT"/>
        </w:rPr>
        <w:t>e protossido di azoto</w:t>
      </w:r>
      <w:r w:rsidR="00187CD1" w:rsidRPr="000C7B84">
        <w:rPr>
          <w:rFonts w:eastAsia="Calibri" w:cstheme="minorHAnsi"/>
          <w:sz w:val="24"/>
          <w:szCs w:val="24"/>
          <w:lang w:eastAsia="it-IT"/>
        </w:rPr>
        <w:t xml:space="preserve"> al 50%</w:t>
      </w:r>
      <w:r w:rsidR="00AD4A22" w:rsidRPr="000C7B84">
        <w:rPr>
          <w:rFonts w:eastAsia="Calibri" w:cstheme="minorHAnsi"/>
          <w:sz w:val="24"/>
          <w:szCs w:val="24"/>
          <w:lang w:eastAsia="it-IT"/>
        </w:rPr>
        <w:t xml:space="preserve">. </w:t>
      </w:r>
    </w:p>
    <w:p w14:paraId="70E9AA0B" w14:textId="72F2AC7B" w:rsidR="00AD4A22" w:rsidRPr="000C7B84" w:rsidRDefault="00AD4A22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Il protossido di azoto ad una concentrazione del 50% ha effetti analgesici e aumenta la soglia del dolore di diversi stimoli dolorosi, come una ferita e la medicazione su un’ustione, lo sbrigliamento e la saturazione di una ferita. </w:t>
      </w:r>
    </w:p>
    <w:p w14:paraId="4F2D6979" w14:textId="77777777" w:rsidR="00A01AB1" w:rsidRPr="000C7B84" w:rsidRDefault="00AD4A22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b/>
          <w:i/>
          <w:sz w:val="24"/>
          <w:szCs w:val="24"/>
        </w:rPr>
      </w:pPr>
      <w:r w:rsidRPr="000C7B84">
        <w:rPr>
          <w:rFonts w:cstheme="minorHAnsi"/>
          <w:sz w:val="24"/>
          <w:szCs w:val="24"/>
        </w:rPr>
        <w:t>La concentrazione di ossigeno al 50% (oltre due volte la concentrazione dell’aria ambientale) garantisce una buona ossigenazione e una saturazione di ossigeno dell’emoglobina.</w:t>
      </w:r>
    </w:p>
    <w:p w14:paraId="1C341C01" w14:textId="77777777" w:rsidR="00EF6711" w:rsidRPr="000C7B84" w:rsidRDefault="00EF6711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</w:p>
    <w:p w14:paraId="16230C10" w14:textId="77A9B1E6" w:rsidR="00AD4A22" w:rsidRPr="000C7B84" w:rsidRDefault="00153B3C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="00AD4A22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265B61" w:rsidRPr="000C7B84">
        <w:rPr>
          <w:rFonts w:cstheme="minorHAnsi"/>
          <w:sz w:val="24"/>
          <w:szCs w:val="24"/>
        </w:rPr>
        <w:t xml:space="preserve">è utilizzato </w:t>
      </w:r>
      <w:r w:rsidR="00AD4A22" w:rsidRPr="000C7B84">
        <w:rPr>
          <w:rFonts w:cstheme="minorHAnsi"/>
          <w:sz w:val="24"/>
          <w:szCs w:val="24"/>
        </w:rPr>
        <w:t xml:space="preserve">l’uso negli adulti e nei bambini di età superiore a 1 mese per: </w:t>
      </w:r>
    </w:p>
    <w:p w14:paraId="5992700B" w14:textId="77777777" w:rsidR="00AD4A22" w:rsidRPr="000C7B84" w:rsidRDefault="00AD4A22" w:rsidP="00AD4A22">
      <w:pPr>
        <w:pStyle w:val="Paragrafoelenco"/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il trattamento di condizioni dolorose di breve durata, di intensità da lieve a moderata, quando si desidera un effetto analgesico che si instauri e che scompaia rapidamente; </w:t>
      </w:r>
    </w:p>
    <w:p w14:paraId="61E1329B" w14:textId="5795661B" w:rsidR="00265B61" w:rsidRPr="000C7B84" w:rsidRDefault="00347D7F" w:rsidP="00AD4A22">
      <w:pPr>
        <w:pStyle w:val="Paragrafoelenco"/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i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la </w:t>
      </w:r>
      <w:r w:rsidR="00AD4A22" w:rsidRPr="000C7B84">
        <w:rPr>
          <w:rFonts w:cstheme="minorHAnsi"/>
          <w:sz w:val="24"/>
          <w:szCs w:val="24"/>
        </w:rPr>
        <w:t xml:space="preserve">sedazione durante </w:t>
      </w:r>
      <w:r w:rsidRPr="000C7B84">
        <w:rPr>
          <w:rFonts w:cstheme="minorHAnsi"/>
          <w:sz w:val="24"/>
          <w:szCs w:val="24"/>
        </w:rPr>
        <w:t xml:space="preserve">la </w:t>
      </w:r>
      <w:r w:rsidR="00AD4A22" w:rsidRPr="000C7B84">
        <w:rPr>
          <w:rFonts w:cstheme="minorHAnsi"/>
          <w:sz w:val="24"/>
          <w:szCs w:val="24"/>
        </w:rPr>
        <w:t>chirurgia dentale in pazienti ansiosi.</w:t>
      </w:r>
    </w:p>
    <w:p w14:paraId="175F51A2" w14:textId="77777777" w:rsidR="00D36F9A" w:rsidRPr="000C7B84" w:rsidRDefault="00D36F9A" w:rsidP="00D36F9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highlight w:val="yellow"/>
          <w:lang w:eastAsia="it-IT"/>
        </w:rPr>
      </w:pPr>
    </w:p>
    <w:p w14:paraId="43868976" w14:textId="5A4A6CB8" w:rsidR="009C76AD" w:rsidRPr="000C7B84" w:rsidRDefault="009C76AD" w:rsidP="009C76A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Poiché </w:t>
      </w:r>
      <w:r w:rsidR="005250C9" w:rsidRPr="000C7B84">
        <w:rPr>
          <w:rFonts w:cstheme="minorHAnsi"/>
          <w:color w:val="000000"/>
          <w:sz w:val="24"/>
          <w:szCs w:val="24"/>
          <w:lang w:eastAsia="it-IT"/>
        </w:rPr>
        <w:t xml:space="preserve">PROTOX </w:t>
      </w:r>
      <w:r w:rsidRPr="000C7B84">
        <w:rPr>
          <w:rFonts w:cstheme="minorHAnsi"/>
          <w:sz w:val="24"/>
          <w:szCs w:val="24"/>
        </w:rPr>
        <w:t xml:space="preserve">contiene </w:t>
      </w:r>
      <w:r w:rsidR="005250C9" w:rsidRPr="000C7B84">
        <w:rPr>
          <w:rFonts w:cstheme="minorHAnsi"/>
          <w:sz w:val="24"/>
          <w:szCs w:val="24"/>
        </w:rPr>
        <w:t>due</w:t>
      </w:r>
      <w:r w:rsidRPr="000C7B84">
        <w:rPr>
          <w:rFonts w:cstheme="minorHAnsi"/>
          <w:sz w:val="24"/>
          <w:szCs w:val="24"/>
        </w:rPr>
        <w:t xml:space="preserve"> principi attiv</w:t>
      </w:r>
      <w:r w:rsidR="005250C9" w:rsidRPr="000C7B84">
        <w:rPr>
          <w:rFonts w:cstheme="minorHAnsi"/>
          <w:sz w:val="24"/>
          <w:szCs w:val="24"/>
        </w:rPr>
        <w:t>i</w:t>
      </w:r>
      <w:r w:rsidRPr="000C7B84">
        <w:rPr>
          <w:rFonts w:cstheme="minorHAnsi"/>
          <w:sz w:val="24"/>
          <w:szCs w:val="24"/>
        </w:rPr>
        <w:t xml:space="preserve"> not</w:t>
      </w:r>
      <w:r w:rsidR="005250C9" w:rsidRPr="000C7B84">
        <w:rPr>
          <w:rFonts w:cstheme="minorHAnsi"/>
          <w:sz w:val="24"/>
          <w:szCs w:val="24"/>
        </w:rPr>
        <w:t>i</w:t>
      </w:r>
      <w:r w:rsidRPr="000C7B84">
        <w:rPr>
          <w:rFonts w:cstheme="minorHAnsi"/>
          <w:sz w:val="24"/>
          <w:szCs w:val="24"/>
        </w:rPr>
        <w:t xml:space="preserve"> il cui l’uso nell’uomo è autorizzato da almeno 10 anni nell’Unione europea, al fine di dimostrare l’efficacia e la sicurezza di </w:t>
      </w:r>
      <w:r w:rsidR="005250C9" w:rsidRPr="000C7B84">
        <w:rPr>
          <w:rFonts w:cstheme="minorHAnsi"/>
          <w:color w:val="000000"/>
          <w:sz w:val="24"/>
          <w:szCs w:val="24"/>
          <w:lang w:eastAsia="it-IT"/>
        </w:rPr>
        <w:t>PROTOX</w:t>
      </w:r>
      <w:r w:rsidRPr="000C7B84">
        <w:rPr>
          <w:rFonts w:cstheme="minorHAnsi"/>
          <w:sz w:val="24"/>
          <w:szCs w:val="24"/>
        </w:rPr>
        <w:t xml:space="preserve"> non sono stati forniti nuovi dati non clinici e clinici ma sono stati presentati dati da letteratura scientifica che dimostrano l’efficacia e la sicurezza del</w:t>
      </w:r>
      <w:r w:rsidR="00AF12B3" w:rsidRPr="000C7B84">
        <w:rPr>
          <w:rFonts w:cstheme="minorHAnsi"/>
          <w:sz w:val="24"/>
          <w:szCs w:val="24"/>
        </w:rPr>
        <w:t>l’</w:t>
      </w:r>
      <w:r w:rsidR="00AF12B3" w:rsidRPr="000C7B84">
        <w:rPr>
          <w:rFonts w:eastAsia="Calibri" w:cstheme="minorHAnsi"/>
          <w:sz w:val="24"/>
          <w:szCs w:val="24"/>
          <w:lang w:eastAsia="it-IT"/>
        </w:rPr>
        <w:t xml:space="preserve"> ossigeno al 50% e del protossido di azoto</w:t>
      </w:r>
      <w:r w:rsidR="00AF12B3" w:rsidRPr="000C7B84">
        <w:rPr>
          <w:rFonts w:cstheme="minorHAnsi"/>
          <w:color w:val="000000"/>
          <w:sz w:val="24"/>
          <w:szCs w:val="24"/>
          <w:lang w:eastAsia="it-IT"/>
        </w:rPr>
        <w:t xml:space="preserve"> al 50% </w:t>
      </w:r>
      <w:r w:rsidRPr="000C7B84">
        <w:rPr>
          <w:rFonts w:cstheme="minorHAnsi"/>
          <w:color w:val="000000"/>
          <w:sz w:val="24"/>
          <w:szCs w:val="24"/>
          <w:lang w:eastAsia="it-IT"/>
        </w:rPr>
        <w:t>nell’indicazione terapeutica proposta</w:t>
      </w:r>
      <w:r w:rsidRPr="000C7B84">
        <w:rPr>
          <w:rFonts w:cstheme="minorHAnsi"/>
          <w:sz w:val="24"/>
          <w:szCs w:val="24"/>
        </w:rPr>
        <w:t xml:space="preserve">: questo approccio è accettabile poiché il principio attivo del medicinale è di impiego medico ben consolidato nella Unione Europea da almeno dieci anni e presenta una riconosciuta efficacia e un livello accettabile di sicurezza. </w:t>
      </w:r>
    </w:p>
    <w:p w14:paraId="1C5BF249" w14:textId="77777777" w:rsidR="00F964BE" w:rsidRPr="000C7B84" w:rsidRDefault="00F964BE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E6A9711" w14:textId="77777777" w:rsidR="004E5A39" w:rsidRPr="000C7B84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Le officine coinvolte nella produzione sono conformi alle linee guida di Buona Pratica di Fabbricazione (</w:t>
      </w:r>
      <w:proofErr w:type="spellStart"/>
      <w:r w:rsidRPr="000C7B84">
        <w:rPr>
          <w:rFonts w:cstheme="minorHAnsi"/>
          <w:i/>
          <w:sz w:val="24"/>
          <w:szCs w:val="24"/>
        </w:rPr>
        <w:t>Good</w:t>
      </w:r>
      <w:proofErr w:type="spellEnd"/>
      <w:r w:rsidRPr="000C7B84">
        <w:rPr>
          <w:rFonts w:cstheme="minorHAnsi"/>
          <w:i/>
          <w:sz w:val="24"/>
          <w:szCs w:val="24"/>
        </w:rPr>
        <w:t xml:space="preserve"> Manufacturing </w:t>
      </w:r>
      <w:proofErr w:type="spellStart"/>
      <w:r w:rsidRPr="000C7B84">
        <w:rPr>
          <w:rFonts w:cstheme="minorHAnsi"/>
          <w:i/>
          <w:sz w:val="24"/>
          <w:szCs w:val="24"/>
        </w:rPr>
        <w:t>Practice</w:t>
      </w:r>
      <w:proofErr w:type="spellEnd"/>
      <w:r w:rsidRPr="000C7B84">
        <w:rPr>
          <w:rFonts w:cstheme="minorHAnsi"/>
          <w:sz w:val="24"/>
          <w:szCs w:val="24"/>
        </w:rPr>
        <w:t xml:space="preserve"> - GMP). </w:t>
      </w:r>
    </w:p>
    <w:p w14:paraId="2A3211A9" w14:textId="77777777" w:rsidR="004E5A39" w:rsidRPr="000C7B84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  <w:highlight w:val="yellow"/>
        </w:rPr>
      </w:pPr>
    </w:p>
    <w:p w14:paraId="70F04DC1" w14:textId="0BAC93CE" w:rsidR="00A046AC" w:rsidRPr="000C7B84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Il sistema di Farmacovigilanza descritto dal titolare dell’AIC è conforme ai requisiti previ</w:t>
      </w:r>
      <w:r w:rsidR="000C6DAF" w:rsidRPr="000C7B84">
        <w:rPr>
          <w:rFonts w:cstheme="minorHAnsi"/>
          <w:sz w:val="24"/>
          <w:szCs w:val="24"/>
        </w:rPr>
        <w:t xml:space="preserve">sti dalla normativa corrente. È </w:t>
      </w:r>
      <w:r w:rsidRPr="000C7B84">
        <w:rPr>
          <w:rFonts w:cstheme="minorHAnsi"/>
          <w:sz w:val="24"/>
          <w:szCs w:val="24"/>
        </w:rPr>
        <w:t>stato presentato un Piano di gestione del rischio (</w:t>
      </w:r>
      <w:proofErr w:type="spellStart"/>
      <w:r w:rsidRPr="000C7B84">
        <w:rPr>
          <w:rFonts w:cstheme="minorHAnsi"/>
          <w:i/>
          <w:sz w:val="24"/>
          <w:szCs w:val="24"/>
        </w:rPr>
        <w:t>Risk</w:t>
      </w:r>
      <w:proofErr w:type="spellEnd"/>
      <w:r w:rsidRPr="000C7B84">
        <w:rPr>
          <w:rFonts w:cstheme="minorHAnsi"/>
          <w:i/>
          <w:sz w:val="24"/>
          <w:szCs w:val="24"/>
        </w:rPr>
        <w:t xml:space="preserve"> Management Plan</w:t>
      </w:r>
      <w:r w:rsidRPr="000C7B84">
        <w:rPr>
          <w:rFonts w:cstheme="minorHAnsi"/>
          <w:sz w:val="24"/>
          <w:szCs w:val="24"/>
        </w:rPr>
        <w:t xml:space="preserve"> – RMP) accettabile.</w:t>
      </w:r>
      <w:r w:rsidR="00F964BE" w:rsidRPr="000C7B84">
        <w:rPr>
          <w:rFonts w:cstheme="minorHAnsi"/>
          <w:sz w:val="24"/>
          <w:szCs w:val="24"/>
        </w:rPr>
        <w:t xml:space="preserve"> </w:t>
      </w:r>
    </w:p>
    <w:p w14:paraId="62908035" w14:textId="77777777" w:rsidR="000C2FFD" w:rsidRPr="000C7B84" w:rsidRDefault="000C2FFD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96D2819" w14:textId="262FA38C" w:rsidR="000C2FFD" w:rsidRPr="000C7B84" w:rsidRDefault="000C2FFD" w:rsidP="000C2FF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Il titolare AIC ha presentato una adeguata documentazione relativa alla valutazione del rischio ambientale </w:t>
      </w:r>
      <w:r w:rsidRPr="000C7B84">
        <w:rPr>
          <w:rFonts w:cstheme="minorHAnsi"/>
          <w:color w:val="000000"/>
          <w:sz w:val="24"/>
          <w:szCs w:val="24"/>
          <w:lang w:eastAsia="it-IT"/>
        </w:rPr>
        <w:t xml:space="preserve">da cui si evince che l’immissione in commercio di </w:t>
      </w:r>
      <w:r w:rsidR="00C3662E">
        <w:rPr>
          <w:rFonts w:cstheme="minorHAnsi"/>
          <w:color w:val="000000"/>
          <w:sz w:val="24"/>
          <w:szCs w:val="24"/>
          <w:lang w:eastAsia="it-IT"/>
        </w:rPr>
        <w:t>PROTOX</w:t>
      </w:r>
      <w:r w:rsidRPr="000C7B84">
        <w:rPr>
          <w:rFonts w:cstheme="minorHAnsi"/>
          <w:color w:val="000000"/>
          <w:sz w:val="24"/>
          <w:szCs w:val="24"/>
          <w:lang w:eastAsia="it-IT"/>
        </w:rPr>
        <w:t xml:space="preserve"> contenente </w:t>
      </w:r>
      <w:r w:rsidR="00AD0DB2" w:rsidRPr="000C7B84">
        <w:rPr>
          <w:rFonts w:eastAsia="Calibri" w:cstheme="minorHAnsi"/>
          <w:sz w:val="24"/>
          <w:szCs w:val="24"/>
          <w:lang w:eastAsia="it-IT"/>
        </w:rPr>
        <w:t>ossigeno al 50% e protossido di azoto</w:t>
      </w:r>
      <w:r w:rsidR="00AD0DB2" w:rsidRPr="000C7B84">
        <w:rPr>
          <w:rFonts w:cstheme="minorHAnsi"/>
          <w:color w:val="000000"/>
          <w:sz w:val="24"/>
          <w:szCs w:val="24"/>
          <w:lang w:eastAsia="it-IT"/>
        </w:rPr>
        <w:t xml:space="preserve"> al 50% </w:t>
      </w:r>
      <w:r w:rsidRPr="000C7B84">
        <w:rPr>
          <w:rFonts w:cstheme="minorHAnsi"/>
          <w:color w:val="000000"/>
          <w:sz w:val="24"/>
          <w:szCs w:val="24"/>
          <w:lang w:eastAsia="it-IT"/>
        </w:rPr>
        <w:t>nella formulazione proposta</w:t>
      </w:r>
      <w:r w:rsidR="008F1EDE" w:rsidRPr="000C7B84">
        <w:rPr>
          <w:rFonts w:cstheme="minorHAnsi"/>
          <w:color w:val="000000"/>
          <w:sz w:val="24"/>
          <w:szCs w:val="24"/>
          <w:lang w:eastAsia="it-IT"/>
        </w:rPr>
        <w:t>,</w:t>
      </w:r>
      <w:r w:rsidRPr="000C7B84">
        <w:rPr>
          <w:rFonts w:cstheme="minorHAnsi"/>
          <w:color w:val="000000"/>
          <w:sz w:val="24"/>
          <w:szCs w:val="24"/>
          <w:lang w:eastAsia="it-IT"/>
        </w:rPr>
        <w:t xml:space="preserve"> non comporta rischi per l’ambiente. </w:t>
      </w:r>
    </w:p>
    <w:p w14:paraId="17F19658" w14:textId="77777777" w:rsidR="000C7B84" w:rsidRPr="000C7B84" w:rsidRDefault="000C7B84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C067D12" w14:textId="24CD2DDF" w:rsidR="000C6DAF" w:rsidRPr="000C7B84" w:rsidRDefault="004E5A39" w:rsidP="002722A2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ASPETTI DI QUALITA’</w:t>
      </w:r>
    </w:p>
    <w:p w14:paraId="5F0697CA" w14:textId="70DB3FB0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II.1</w:t>
      </w:r>
      <w:r w:rsidR="00BA57AD" w:rsidRPr="000C7B84">
        <w:rPr>
          <w:rFonts w:cstheme="minorHAnsi"/>
          <w:b/>
          <w:sz w:val="24"/>
          <w:szCs w:val="24"/>
        </w:rPr>
        <w:t>.1</w:t>
      </w:r>
      <w:r w:rsidRPr="000C7B84">
        <w:rPr>
          <w:rFonts w:cstheme="minorHAnsi"/>
          <w:b/>
          <w:sz w:val="24"/>
          <w:szCs w:val="24"/>
        </w:rPr>
        <w:t xml:space="preserve"> PRINCIPIO ATTIVO: OSSIGENO</w:t>
      </w:r>
    </w:p>
    <w:p w14:paraId="1AFA0DC8" w14:textId="77777777" w:rsidR="00A92A9D" w:rsidRPr="000C7B84" w:rsidRDefault="00A92A9D" w:rsidP="00A92A9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highlight w:val="yellow"/>
        </w:rPr>
      </w:pPr>
      <w:r w:rsidRPr="000C7B84">
        <w:rPr>
          <w:rFonts w:cstheme="minorHAnsi"/>
          <w:sz w:val="24"/>
          <w:szCs w:val="24"/>
          <w:u w:val="single"/>
        </w:rPr>
        <w:t>Denominazione chimica:</w:t>
      </w:r>
      <w:r w:rsidRPr="000C7B84">
        <w:rPr>
          <w:rFonts w:cstheme="minorHAnsi"/>
          <w:i/>
          <w:iCs/>
          <w:sz w:val="24"/>
          <w:szCs w:val="24"/>
        </w:rPr>
        <w:t xml:space="preserve"> </w:t>
      </w:r>
      <w:r w:rsidRPr="000C7B84">
        <w:rPr>
          <w:rFonts w:cstheme="minorHAnsi"/>
          <w:iCs/>
          <w:sz w:val="24"/>
          <w:szCs w:val="24"/>
        </w:rPr>
        <w:t>Ossigeno molecolare</w:t>
      </w:r>
    </w:p>
    <w:p w14:paraId="05EF6CA1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  <w:u w:val="single"/>
        </w:rPr>
        <w:t>Struttura</w:t>
      </w:r>
      <w:r w:rsidRPr="000C7B84">
        <w:rPr>
          <w:rFonts w:cstheme="minorHAnsi"/>
          <w:sz w:val="24"/>
          <w:szCs w:val="24"/>
        </w:rPr>
        <w:t>: O=O</w:t>
      </w:r>
    </w:p>
    <w:p w14:paraId="4D270E17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  <w:u w:val="single"/>
        </w:rPr>
        <w:t>Formula molecolare</w:t>
      </w:r>
      <w:r w:rsidRPr="000C7B84">
        <w:rPr>
          <w:rFonts w:cstheme="minorHAnsi"/>
          <w:sz w:val="24"/>
          <w:szCs w:val="24"/>
        </w:rPr>
        <w:t>:</w:t>
      </w:r>
      <w:r w:rsidRPr="000C7B84">
        <w:rPr>
          <w:rStyle w:val="s1"/>
          <w:rFonts w:asciiTheme="minorHAnsi" w:hAnsiTheme="minorHAnsi" w:cstheme="minorHAnsi"/>
          <w:sz w:val="24"/>
          <w:szCs w:val="24"/>
        </w:rPr>
        <w:t xml:space="preserve"> O</w:t>
      </w:r>
      <w:r w:rsidRPr="000C7B84">
        <w:rPr>
          <w:rStyle w:val="s1"/>
          <w:rFonts w:asciiTheme="minorHAnsi" w:hAnsiTheme="minorHAnsi" w:cstheme="minorHAnsi"/>
          <w:sz w:val="24"/>
          <w:szCs w:val="24"/>
          <w:vertAlign w:val="subscript"/>
        </w:rPr>
        <w:t>2</w:t>
      </w:r>
    </w:p>
    <w:p w14:paraId="6E546BA2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  <w:u w:val="single"/>
        </w:rPr>
        <w:t>Peso molecolare</w:t>
      </w:r>
      <w:r w:rsidRPr="000C7B84">
        <w:rPr>
          <w:rFonts w:cstheme="minorHAnsi"/>
          <w:sz w:val="24"/>
          <w:szCs w:val="24"/>
        </w:rPr>
        <w:t>:</w:t>
      </w:r>
      <w:r w:rsidRPr="000C7B84">
        <w:rPr>
          <w:rFonts w:cstheme="minorHAnsi"/>
          <w:color w:val="252525"/>
          <w:sz w:val="24"/>
          <w:szCs w:val="24"/>
          <w:shd w:val="clear" w:color="auto" w:fill="F9F9F9"/>
        </w:rPr>
        <w:t xml:space="preserve"> </w:t>
      </w:r>
      <w:r w:rsidRPr="000C7B84">
        <w:rPr>
          <w:rFonts w:cstheme="minorHAnsi"/>
          <w:sz w:val="24"/>
          <w:szCs w:val="24"/>
        </w:rPr>
        <w:t xml:space="preserve">32,00 </w:t>
      </w:r>
      <w:r w:rsidRPr="000C7B84">
        <w:rPr>
          <w:rStyle w:val="s1"/>
          <w:rFonts w:asciiTheme="minorHAnsi" w:hAnsiTheme="minorHAnsi" w:cstheme="minorHAnsi"/>
          <w:sz w:val="24"/>
          <w:szCs w:val="24"/>
        </w:rPr>
        <w:t>g/</w:t>
      </w:r>
      <w:proofErr w:type="spellStart"/>
      <w:r w:rsidRPr="000C7B84">
        <w:rPr>
          <w:rStyle w:val="s1"/>
          <w:rFonts w:asciiTheme="minorHAnsi" w:hAnsiTheme="minorHAnsi" w:cstheme="minorHAnsi"/>
          <w:sz w:val="24"/>
          <w:szCs w:val="24"/>
        </w:rPr>
        <w:t>mol</w:t>
      </w:r>
      <w:proofErr w:type="spellEnd"/>
    </w:p>
    <w:p w14:paraId="37B2198B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  <w:lang w:val="en-GB"/>
        </w:rPr>
      </w:pPr>
      <w:r w:rsidRPr="000C7B84">
        <w:rPr>
          <w:rFonts w:cstheme="minorHAnsi"/>
          <w:sz w:val="24"/>
          <w:szCs w:val="24"/>
          <w:u w:val="single"/>
          <w:lang w:val="en-GB"/>
        </w:rPr>
        <w:t>CAS</w:t>
      </w:r>
      <w:r w:rsidRPr="000C7B84">
        <w:rPr>
          <w:rFonts w:cstheme="minorHAnsi"/>
          <w:sz w:val="24"/>
          <w:szCs w:val="24"/>
          <w:lang w:val="en-GB"/>
        </w:rPr>
        <w:t>: [7782-44-7]</w:t>
      </w:r>
    </w:p>
    <w:p w14:paraId="468AAE5B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  <w:lang w:val="en-GB"/>
        </w:rPr>
      </w:pPr>
      <w:proofErr w:type="spellStart"/>
      <w:r w:rsidRPr="000C7B84">
        <w:rPr>
          <w:rFonts w:cstheme="minorHAnsi"/>
          <w:sz w:val="24"/>
          <w:szCs w:val="24"/>
          <w:u w:val="single"/>
          <w:lang w:val="en-GB"/>
        </w:rPr>
        <w:lastRenderedPageBreak/>
        <w:t>Aspetto</w:t>
      </w:r>
      <w:proofErr w:type="spellEnd"/>
      <w:r w:rsidRPr="000C7B84">
        <w:rPr>
          <w:rFonts w:cstheme="minorHAnsi"/>
          <w:sz w:val="24"/>
          <w:szCs w:val="24"/>
          <w:lang w:val="en-GB"/>
        </w:rPr>
        <w:t xml:space="preserve">: gas </w:t>
      </w:r>
      <w:proofErr w:type="spellStart"/>
      <w:r w:rsidRPr="000C7B84">
        <w:rPr>
          <w:rFonts w:cstheme="minorHAnsi"/>
          <w:sz w:val="24"/>
          <w:szCs w:val="24"/>
          <w:lang w:val="en-GB"/>
        </w:rPr>
        <w:t>incolore</w:t>
      </w:r>
      <w:proofErr w:type="spellEnd"/>
    </w:p>
    <w:p w14:paraId="514FB020" w14:textId="77777777" w:rsidR="00A92A9D" w:rsidRPr="000C7B84" w:rsidRDefault="00A92A9D" w:rsidP="00A92A9D">
      <w:pPr>
        <w:spacing w:after="0" w:line="240" w:lineRule="auto"/>
        <w:jc w:val="both"/>
        <w:rPr>
          <w:rStyle w:val="s1"/>
          <w:rFonts w:asciiTheme="minorHAnsi" w:hAnsiTheme="minorHAnsi"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  <w:u w:val="single"/>
        </w:rPr>
        <w:t>Solubilità</w:t>
      </w:r>
      <w:r w:rsidRPr="000C7B84">
        <w:rPr>
          <w:rFonts w:cstheme="minorHAnsi"/>
          <w:sz w:val="24"/>
          <w:szCs w:val="24"/>
        </w:rPr>
        <w:t xml:space="preserve">: alla temperatura di 20 °C e alla pressione di of 101 </w:t>
      </w:r>
      <w:proofErr w:type="spellStart"/>
      <w:r w:rsidRPr="000C7B84">
        <w:rPr>
          <w:rFonts w:cstheme="minorHAnsi"/>
          <w:sz w:val="24"/>
          <w:szCs w:val="24"/>
        </w:rPr>
        <w:t>kPa</w:t>
      </w:r>
      <w:proofErr w:type="spellEnd"/>
      <w:r w:rsidRPr="000C7B84">
        <w:rPr>
          <w:rFonts w:cstheme="minorHAnsi"/>
          <w:sz w:val="24"/>
          <w:szCs w:val="24"/>
        </w:rPr>
        <w:t>, 1 volume di ossigeno si scioglie in circa 32 volumi di acqua.</w:t>
      </w:r>
    </w:p>
    <w:p w14:paraId="79249802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BE88382" w14:textId="12861B3B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Il principio attivo è presente in Farmacopea Europea; il produttore ha presentato </w:t>
      </w:r>
      <w:r w:rsidR="0061410F" w:rsidRPr="000C7B84">
        <w:rPr>
          <w:rFonts w:cstheme="minorHAnsi"/>
          <w:sz w:val="24"/>
          <w:szCs w:val="24"/>
        </w:rPr>
        <w:t>un</w:t>
      </w:r>
      <w:r w:rsidRPr="000C7B84">
        <w:rPr>
          <w:rFonts w:cstheme="minorHAnsi"/>
          <w:sz w:val="24"/>
          <w:szCs w:val="24"/>
        </w:rPr>
        <w:t xml:space="preserve"> ASMF. </w:t>
      </w:r>
    </w:p>
    <w:p w14:paraId="26A456E9" w14:textId="43D022E7" w:rsidR="00AF3533" w:rsidRPr="000C7B84" w:rsidRDefault="00AF3533" w:rsidP="00AF353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La produzione del principio attivo è stata adeguatamente descritta a partire da idonei materiali di partenza; sono utilizzati appropriati controlli di processo.</w:t>
      </w:r>
    </w:p>
    <w:p w14:paraId="64C13B9E" w14:textId="59BE37AC" w:rsidR="00AF3533" w:rsidRPr="000C7B84" w:rsidRDefault="00AF3533" w:rsidP="00AF353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Le specifiche del principio attivo sono appropriate e controllate con metodi analitici adeguatamente convalidati. Sono stati forniti certificati analitici che confermano la qualità del principio attivo.</w:t>
      </w:r>
    </w:p>
    <w:p w14:paraId="4B842AD9" w14:textId="6577BBE1" w:rsidR="00A92A9D" w:rsidRPr="000C7B84" w:rsidRDefault="00AF3533" w:rsidP="00AF353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Sono stat</w:t>
      </w:r>
      <w:r w:rsidR="0005534A" w:rsidRPr="000C7B84">
        <w:rPr>
          <w:rFonts w:cstheme="minorHAnsi"/>
          <w:sz w:val="24"/>
          <w:szCs w:val="24"/>
        </w:rPr>
        <w:t>e</w:t>
      </w:r>
      <w:r w:rsidRPr="000C7B84">
        <w:rPr>
          <w:rFonts w:cstheme="minorHAnsi"/>
          <w:sz w:val="24"/>
          <w:szCs w:val="24"/>
        </w:rPr>
        <w:t xml:space="preserve"> fornit</w:t>
      </w:r>
      <w:r w:rsidR="0005534A" w:rsidRPr="000C7B84">
        <w:rPr>
          <w:rFonts w:cstheme="minorHAnsi"/>
          <w:sz w:val="24"/>
          <w:szCs w:val="24"/>
        </w:rPr>
        <w:t>e</w:t>
      </w:r>
      <w:r w:rsidRPr="000C7B84">
        <w:rPr>
          <w:rFonts w:cstheme="minorHAnsi"/>
          <w:sz w:val="24"/>
          <w:szCs w:val="24"/>
        </w:rPr>
        <w:t xml:space="preserve"> </w:t>
      </w:r>
      <w:r w:rsidR="00340A88" w:rsidRPr="000C7B84">
        <w:rPr>
          <w:rFonts w:cstheme="minorHAnsi"/>
          <w:sz w:val="24"/>
          <w:szCs w:val="24"/>
        </w:rPr>
        <w:t>adeguat</w:t>
      </w:r>
      <w:r w:rsidR="0061410F" w:rsidRPr="000C7B84">
        <w:rPr>
          <w:rFonts w:cstheme="minorHAnsi"/>
          <w:sz w:val="24"/>
          <w:szCs w:val="24"/>
        </w:rPr>
        <w:t>e i</w:t>
      </w:r>
      <w:r w:rsidR="00340A88" w:rsidRPr="000C7B84">
        <w:rPr>
          <w:rFonts w:cstheme="minorHAnsi"/>
          <w:sz w:val="24"/>
          <w:szCs w:val="24"/>
        </w:rPr>
        <w:t>nformazioni</w:t>
      </w:r>
      <w:r w:rsidRPr="000C7B84">
        <w:rPr>
          <w:rFonts w:cstheme="minorHAnsi"/>
          <w:sz w:val="24"/>
          <w:szCs w:val="24"/>
        </w:rPr>
        <w:t xml:space="preserve"> </w:t>
      </w:r>
      <w:r w:rsidR="00066320" w:rsidRPr="000C7B84">
        <w:rPr>
          <w:rFonts w:cstheme="minorHAnsi"/>
          <w:sz w:val="24"/>
          <w:szCs w:val="24"/>
        </w:rPr>
        <w:t>sulla</w:t>
      </w:r>
      <w:r w:rsidRPr="000C7B84">
        <w:rPr>
          <w:rFonts w:cstheme="minorHAnsi"/>
          <w:sz w:val="24"/>
          <w:szCs w:val="24"/>
        </w:rPr>
        <w:t xml:space="preserve"> stabilità per il principio attivo.</w:t>
      </w:r>
    </w:p>
    <w:p w14:paraId="465D4A7A" w14:textId="77777777" w:rsidR="00066320" w:rsidRPr="000C7B84" w:rsidRDefault="00066320" w:rsidP="00AF353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4122714" w14:textId="19830402" w:rsidR="00B046B5" w:rsidRPr="000C7B84" w:rsidRDefault="00B046B5" w:rsidP="00B046B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II.</w:t>
      </w:r>
      <w:r w:rsidR="00BA57AD" w:rsidRPr="000C7B84">
        <w:rPr>
          <w:rFonts w:cstheme="minorHAnsi"/>
          <w:b/>
          <w:sz w:val="24"/>
          <w:szCs w:val="24"/>
        </w:rPr>
        <w:t>1.</w:t>
      </w:r>
      <w:r w:rsidRPr="000C7B84">
        <w:rPr>
          <w:rFonts w:cstheme="minorHAnsi"/>
          <w:b/>
          <w:sz w:val="24"/>
          <w:szCs w:val="24"/>
        </w:rPr>
        <w:t xml:space="preserve">2 PRINCIPIO ATTIVO: </w:t>
      </w:r>
      <w:r w:rsidR="00BA57AD" w:rsidRPr="000C7B84">
        <w:rPr>
          <w:rFonts w:cstheme="minorHAnsi"/>
          <w:b/>
          <w:sz w:val="24"/>
          <w:szCs w:val="24"/>
        </w:rPr>
        <w:t>PROTOSSIDO DI AZOTO</w:t>
      </w:r>
    </w:p>
    <w:p w14:paraId="6771FBEF" w14:textId="755AA12B" w:rsidR="00B046B5" w:rsidRPr="000C7B84" w:rsidRDefault="00B046B5" w:rsidP="00B046B5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highlight w:val="yellow"/>
        </w:rPr>
      </w:pPr>
      <w:r w:rsidRPr="000C7B84">
        <w:rPr>
          <w:rFonts w:cstheme="minorHAnsi"/>
          <w:sz w:val="24"/>
          <w:szCs w:val="24"/>
          <w:u w:val="single"/>
        </w:rPr>
        <w:t>Denominazione chimica:</w:t>
      </w:r>
      <w:r w:rsidRPr="000C7B84">
        <w:rPr>
          <w:rFonts w:cstheme="minorHAnsi"/>
          <w:i/>
          <w:iCs/>
          <w:sz w:val="24"/>
          <w:szCs w:val="24"/>
        </w:rPr>
        <w:t xml:space="preserve"> </w:t>
      </w:r>
      <w:r w:rsidR="006E149E" w:rsidRPr="000C7B84">
        <w:rPr>
          <w:rFonts w:cstheme="minorHAnsi"/>
          <w:iCs/>
          <w:sz w:val="24"/>
          <w:szCs w:val="24"/>
        </w:rPr>
        <w:t>protossido di azoto (ossido nitroso)</w:t>
      </w:r>
    </w:p>
    <w:p w14:paraId="1ADAFF94" w14:textId="1CA80B82" w:rsidR="00B046B5" w:rsidRPr="000C7B84" w:rsidRDefault="00B046B5" w:rsidP="00B046B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  <w:u w:val="single"/>
        </w:rPr>
        <w:t>Struttura</w:t>
      </w:r>
      <w:r w:rsidRPr="000C7B84">
        <w:rPr>
          <w:rFonts w:cstheme="minorHAnsi"/>
          <w:sz w:val="24"/>
          <w:szCs w:val="24"/>
        </w:rPr>
        <w:t xml:space="preserve">: </w:t>
      </w:r>
      <w:r w:rsidR="00DE48E6" w:rsidRPr="000C7B84">
        <w:rPr>
          <w:rFonts w:cstheme="minorHAnsi"/>
          <w:sz w:val="24"/>
          <w:szCs w:val="24"/>
        </w:rPr>
        <w:t>N</w:t>
      </w:r>
      <w:r w:rsidR="00F32D54" w:rsidRPr="000C7B84">
        <w:rPr>
          <w:rFonts w:cstheme="minorHAnsi"/>
          <w:sz w:val="24"/>
          <w:szCs w:val="24"/>
        </w:rPr>
        <w:t>≡</w:t>
      </w:r>
      <w:r w:rsidR="00AC6874" w:rsidRPr="000C7B84">
        <w:rPr>
          <w:rFonts w:cstheme="minorHAnsi"/>
          <w:sz w:val="24"/>
          <w:szCs w:val="24"/>
        </w:rPr>
        <w:t>N</w:t>
      </w:r>
      <w:r w:rsidR="00AC6874" w:rsidRPr="000C7B84">
        <w:rPr>
          <w:rFonts w:cstheme="minorHAnsi"/>
          <w:sz w:val="24"/>
          <w:szCs w:val="24"/>
          <w:vertAlign w:val="superscript"/>
        </w:rPr>
        <w:t>+</w:t>
      </w:r>
      <w:r w:rsidR="009C126F" w:rsidRPr="000C7B84">
        <w:rPr>
          <w:rFonts w:cstheme="minorHAnsi"/>
          <w:sz w:val="24"/>
          <w:szCs w:val="24"/>
        </w:rPr>
        <w:t>-</w:t>
      </w:r>
      <w:r w:rsidRPr="000C7B84">
        <w:rPr>
          <w:rFonts w:cstheme="minorHAnsi"/>
          <w:sz w:val="24"/>
          <w:szCs w:val="24"/>
        </w:rPr>
        <w:t>O</w:t>
      </w:r>
      <w:r w:rsidR="00F32D54" w:rsidRPr="000C7B84">
        <w:rPr>
          <w:rFonts w:cstheme="minorHAnsi"/>
          <w:sz w:val="24"/>
          <w:szCs w:val="24"/>
          <w:vertAlign w:val="superscript"/>
        </w:rPr>
        <w:t>-</w:t>
      </w:r>
    </w:p>
    <w:p w14:paraId="5E8B9EFD" w14:textId="1F9F31C3" w:rsidR="00B046B5" w:rsidRPr="000C7B84" w:rsidRDefault="00B046B5" w:rsidP="00B046B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  <w:u w:val="single"/>
        </w:rPr>
        <w:t>Formula molecolare</w:t>
      </w:r>
      <w:r w:rsidRPr="000C7B84">
        <w:rPr>
          <w:rFonts w:cstheme="minorHAnsi"/>
          <w:sz w:val="24"/>
          <w:szCs w:val="24"/>
        </w:rPr>
        <w:t>:</w:t>
      </w:r>
      <w:r w:rsidRPr="000C7B84">
        <w:rPr>
          <w:rStyle w:val="s1"/>
          <w:rFonts w:asciiTheme="minorHAnsi" w:hAnsiTheme="minorHAnsi" w:cstheme="minorHAnsi"/>
          <w:sz w:val="24"/>
          <w:szCs w:val="24"/>
        </w:rPr>
        <w:t xml:space="preserve"> </w:t>
      </w:r>
      <w:r w:rsidR="00DE48E6" w:rsidRPr="000C7B84">
        <w:rPr>
          <w:rStyle w:val="s1"/>
          <w:rFonts w:asciiTheme="minorHAnsi" w:hAnsiTheme="minorHAnsi" w:cstheme="minorHAnsi"/>
          <w:sz w:val="24"/>
          <w:szCs w:val="24"/>
        </w:rPr>
        <w:t>N</w:t>
      </w:r>
      <w:r w:rsidRPr="000C7B84">
        <w:rPr>
          <w:rStyle w:val="s1"/>
          <w:rFonts w:asciiTheme="minorHAnsi" w:hAnsiTheme="minorHAnsi" w:cstheme="minorHAnsi"/>
          <w:sz w:val="24"/>
          <w:szCs w:val="24"/>
          <w:vertAlign w:val="subscript"/>
        </w:rPr>
        <w:t>2</w:t>
      </w:r>
      <w:r w:rsidR="00DE48E6" w:rsidRPr="000C7B84">
        <w:rPr>
          <w:rStyle w:val="s1"/>
          <w:rFonts w:asciiTheme="minorHAnsi" w:hAnsiTheme="minorHAnsi" w:cstheme="minorHAnsi"/>
          <w:sz w:val="24"/>
          <w:szCs w:val="24"/>
        </w:rPr>
        <w:t>O</w:t>
      </w:r>
    </w:p>
    <w:p w14:paraId="2D5F4207" w14:textId="326E260B" w:rsidR="00B046B5" w:rsidRPr="000C7B84" w:rsidRDefault="00B046B5" w:rsidP="00B046B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  <w:u w:val="single"/>
        </w:rPr>
        <w:t>Peso molecolare</w:t>
      </w:r>
      <w:r w:rsidRPr="000C7B84">
        <w:rPr>
          <w:rFonts w:cstheme="minorHAnsi"/>
          <w:sz w:val="24"/>
          <w:szCs w:val="24"/>
        </w:rPr>
        <w:t>:</w:t>
      </w:r>
      <w:r w:rsidRPr="000C7B84">
        <w:rPr>
          <w:rFonts w:cstheme="minorHAnsi"/>
          <w:color w:val="252525"/>
          <w:sz w:val="24"/>
          <w:szCs w:val="24"/>
          <w:shd w:val="clear" w:color="auto" w:fill="F9F9F9"/>
        </w:rPr>
        <w:t xml:space="preserve"> </w:t>
      </w:r>
      <w:r w:rsidR="00D56DFD" w:rsidRPr="000C7B84">
        <w:rPr>
          <w:rFonts w:cstheme="minorHAnsi"/>
          <w:sz w:val="24"/>
          <w:szCs w:val="24"/>
        </w:rPr>
        <w:t>44</w:t>
      </w:r>
      <w:r w:rsidRPr="000C7B84">
        <w:rPr>
          <w:rFonts w:cstheme="minorHAnsi"/>
          <w:sz w:val="24"/>
          <w:szCs w:val="24"/>
        </w:rPr>
        <w:t>,0</w:t>
      </w:r>
      <w:r w:rsidR="00D56DFD" w:rsidRPr="000C7B84">
        <w:rPr>
          <w:rFonts w:cstheme="minorHAnsi"/>
          <w:sz w:val="24"/>
          <w:szCs w:val="24"/>
        </w:rPr>
        <w:t>1</w:t>
      </w:r>
      <w:r w:rsidRPr="000C7B84">
        <w:rPr>
          <w:rFonts w:cstheme="minorHAnsi"/>
          <w:sz w:val="24"/>
          <w:szCs w:val="24"/>
        </w:rPr>
        <w:t xml:space="preserve"> </w:t>
      </w:r>
      <w:r w:rsidRPr="000C7B84">
        <w:rPr>
          <w:rStyle w:val="s1"/>
          <w:rFonts w:asciiTheme="minorHAnsi" w:hAnsiTheme="minorHAnsi" w:cstheme="minorHAnsi"/>
          <w:sz w:val="24"/>
          <w:szCs w:val="24"/>
        </w:rPr>
        <w:t>g/</w:t>
      </w:r>
      <w:proofErr w:type="spellStart"/>
      <w:r w:rsidRPr="000C7B84">
        <w:rPr>
          <w:rStyle w:val="s1"/>
          <w:rFonts w:asciiTheme="minorHAnsi" w:hAnsiTheme="minorHAnsi" w:cstheme="minorHAnsi"/>
          <w:sz w:val="24"/>
          <w:szCs w:val="24"/>
        </w:rPr>
        <w:t>mol</w:t>
      </w:r>
      <w:proofErr w:type="spellEnd"/>
    </w:p>
    <w:p w14:paraId="3A74D285" w14:textId="314D952E" w:rsidR="00B046B5" w:rsidRPr="000C7B84" w:rsidRDefault="00B046B5" w:rsidP="00B046B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  <w:u w:val="single"/>
        </w:rPr>
        <w:t>CAS</w:t>
      </w:r>
      <w:r w:rsidRPr="000C7B84">
        <w:rPr>
          <w:rFonts w:cstheme="minorHAnsi"/>
          <w:sz w:val="24"/>
          <w:szCs w:val="24"/>
        </w:rPr>
        <w:t>: [</w:t>
      </w:r>
      <w:r w:rsidR="00054C87" w:rsidRPr="000C7B84">
        <w:rPr>
          <w:rFonts w:cstheme="minorHAnsi"/>
          <w:sz w:val="24"/>
          <w:szCs w:val="24"/>
        </w:rPr>
        <w:t>10024-97-2</w:t>
      </w:r>
      <w:r w:rsidRPr="000C7B84">
        <w:rPr>
          <w:rFonts w:cstheme="minorHAnsi"/>
          <w:sz w:val="24"/>
          <w:szCs w:val="24"/>
        </w:rPr>
        <w:t>]</w:t>
      </w:r>
    </w:p>
    <w:p w14:paraId="2EBD1933" w14:textId="77777777" w:rsidR="00B046B5" w:rsidRPr="000C7B84" w:rsidRDefault="00B046B5" w:rsidP="00B046B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  <w:u w:val="single"/>
        </w:rPr>
        <w:t>Aspetto</w:t>
      </w:r>
      <w:r w:rsidRPr="000C7B84">
        <w:rPr>
          <w:rFonts w:cstheme="minorHAnsi"/>
          <w:sz w:val="24"/>
          <w:szCs w:val="24"/>
        </w:rPr>
        <w:t>: gas incolore</w:t>
      </w:r>
    </w:p>
    <w:p w14:paraId="277C8E0C" w14:textId="3C9F95FA" w:rsidR="00B046B5" w:rsidRPr="000C7B84" w:rsidRDefault="00B046B5" w:rsidP="00B046B5">
      <w:pPr>
        <w:spacing w:after="0" w:line="240" w:lineRule="auto"/>
        <w:jc w:val="both"/>
        <w:rPr>
          <w:rStyle w:val="s1"/>
          <w:rFonts w:asciiTheme="minorHAnsi" w:hAnsiTheme="minorHAnsi"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  <w:u w:val="single"/>
        </w:rPr>
        <w:t>Solubilità</w:t>
      </w:r>
      <w:r w:rsidRPr="000C7B84">
        <w:rPr>
          <w:rFonts w:cstheme="minorHAnsi"/>
          <w:sz w:val="24"/>
          <w:szCs w:val="24"/>
        </w:rPr>
        <w:t xml:space="preserve">: alla temperatura di 20 °C e alla pressione di of 101 </w:t>
      </w:r>
      <w:proofErr w:type="spellStart"/>
      <w:r w:rsidRPr="000C7B84">
        <w:rPr>
          <w:rFonts w:cstheme="minorHAnsi"/>
          <w:sz w:val="24"/>
          <w:szCs w:val="24"/>
        </w:rPr>
        <w:t>kPa</w:t>
      </w:r>
      <w:proofErr w:type="spellEnd"/>
      <w:r w:rsidRPr="000C7B84">
        <w:rPr>
          <w:rFonts w:cstheme="minorHAnsi"/>
          <w:sz w:val="24"/>
          <w:szCs w:val="24"/>
        </w:rPr>
        <w:t xml:space="preserve">, 1 volume di </w:t>
      </w:r>
      <w:r w:rsidR="00383206" w:rsidRPr="000C7B84">
        <w:rPr>
          <w:rFonts w:cstheme="minorHAnsi"/>
          <w:sz w:val="24"/>
          <w:szCs w:val="24"/>
        </w:rPr>
        <w:t>protossido di azoto</w:t>
      </w:r>
      <w:r w:rsidRPr="000C7B84">
        <w:rPr>
          <w:rFonts w:cstheme="minorHAnsi"/>
          <w:sz w:val="24"/>
          <w:szCs w:val="24"/>
        </w:rPr>
        <w:t xml:space="preserve"> si scioglie in circa </w:t>
      </w:r>
      <w:r w:rsidR="00383206" w:rsidRPr="000C7B84">
        <w:rPr>
          <w:rFonts w:cstheme="minorHAnsi"/>
          <w:sz w:val="24"/>
          <w:szCs w:val="24"/>
        </w:rPr>
        <w:t>1,5</w:t>
      </w:r>
      <w:r w:rsidRPr="000C7B84">
        <w:rPr>
          <w:rFonts w:cstheme="minorHAnsi"/>
          <w:sz w:val="24"/>
          <w:szCs w:val="24"/>
        </w:rPr>
        <w:t xml:space="preserve"> volumi di acqua.</w:t>
      </w:r>
    </w:p>
    <w:p w14:paraId="70623800" w14:textId="77777777" w:rsidR="00B046B5" w:rsidRPr="000C7B84" w:rsidRDefault="00B046B5" w:rsidP="00B046B5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30B4972" w14:textId="77777777" w:rsidR="00B046B5" w:rsidRPr="000C7B84" w:rsidRDefault="00B046B5" w:rsidP="00B046B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Il principio attivo è presente in Farmacopea Europea; il produttore ha presentato un ASMF. </w:t>
      </w:r>
    </w:p>
    <w:p w14:paraId="630D4E30" w14:textId="6E7AFA96" w:rsidR="00B046B5" w:rsidRPr="000C7B84" w:rsidRDefault="00B046B5" w:rsidP="00B046B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La </w:t>
      </w:r>
      <w:r w:rsidR="0023397E" w:rsidRPr="000C7B84">
        <w:rPr>
          <w:rFonts w:cstheme="minorHAnsi"/>
          <w:sz w:val="24"/>
          <w:szCs w:val="24"/>
        </w:rPr>
        <w:t xml:space="preserve">sintesi </w:t>
      </w:r>
      <w:r w:rsidRPr="000C7B84">
        <w:rPr>
          <w:rFonts w:cstheme="minorHAnsi"/>
          <w:sz w:val="24"/>
          <w:szCs w:val="24"/>
        </w:rPr>
        <w:t>del principio attivo è stata adeguatamente descritta a partire da idonei materiali di partenza; sono utilizzati appropriati controlli di processo.</w:t>
      </w:r>
    </w:p>
    <w:p w14:paraId="37FDC775" w14:textId="716AB3D2" w:rsidR="00B046B5" w:rsidRPr="000C7B84" w:rsidRDefault="00B046B5" w:rsidP="00B046B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Le specifiche del principio attivo sono appropriate e controllate con metodi analitici adeguatamente convalidati. Sono stati forniti certificati analitici che confermano la qualità del principio attivo.</w:t>
      </w:r>
    </w:p>
    <w:p w14:paraId="1DD99A2A" w14:textId="121B8565" w:rsidR="00B046B5" w:rsidRPr="000C7B84" w:rsidRDefault="00B046B5" w:rsidP="00B046B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Sono stat</w:t>
      </w:r>
      <w:r w:rsidR="0005534A" w:rsidRPr="000C7B84">
        <w:rPr>
          <w:rFonts w:cstheme="minorHAnsi"/>
          <w:sz w:val="24"/>
          <w:szCs w:val="24"/>
        </w:rPr>
        <w:t>e</w:t>
      </w:r>
      <w:r w:rsidRPr="000C7B84">
        <w:rPr>
          <w:rFonts w:cstheme="minorHAnsi"/>
          <w:sz w:val="24"/>
          <w:szCs w:val="24"/>
        </w:rPr>
        <w:t xml:space="preserve"> fornit</w:t>
      </w:r>
      <w:r w:rsidR="0005534A" w:rsidRPr="000C7B84">
        <w:rPr>
          <w:rFonts w:cstheme="minorHAnsi"/>
          <w:sz w:val="24"/>
          <w:szCs w:val="24"/>
        </w:rPr>
        <w:t>e</w:t>
      </w:r>
      <w:r w:rsidRPr="000C7B84">
        <w:rPr>
          <w:rFonts w:cstheme="minorHAnsi"/>
          <w:sz w:val="24"/>
          <w:szCs w:val="24"/>
        </w:rPr>
        <w:t xml:space="preserve"> adeguat</w:t>
      </w:r>
      <w:r w:rsidR="0005534A" w:rsidRPr="000C7B84">
        <w:rPr>
          <w:rFonts w:cstheme="minorHAnsi"/>
          <w:sz w:val="24"/>
          <w:szCs w:val="24"/>
        </w:rPr>
        <w:t>e</w:t>
      </w:r>
      <w:r w:rsidRPr="000C7B84">
        <w:rPr>
          <w:rFonts w:cstheme="minorHAnsi"/>
          <w:sz w:val="24"/>
          <w:szCs w:val="24"/>
        </w:rPr>
        <w:t xml:space="preserve"> informazioni sulla stabilità per il principio attivo.</w:t>
      </w:r>
    </w:p>
    <w:p w14:paraId="23101E90" w14:textId="77777777" w:rsidR="00B046B5" w:rsidRPr="000C7B84" w:rsidRDefault="00B046B5" w:rsidP="00AF353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86CB055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II.2 PRODOTTO FINITO</w:t>
      </w:r>
    </w:p>
    <w:p w14:paraId="6CB57D20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Descrizione e composizione</w:t>
      </w:r>
    </w:p>
    <w:p w14:paraId="098E2313" w14:textId="6772EE82" w:rsidR="00A92A9D" w:rsidRPr="000C7B84" w:rsidRDefault="00066320" w:rsidP="00A92A9D">
      <w:pPr>
        <w:widowControl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  <w:lang w:eastAsia="it-IT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PROTOX </w:t>
      </w:r>
      <w:r w:rsidR="00A92A9D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è disponibile come gas compresso alla pressione di </w:t>
      </w:r>
      <w:r w:rsidR="00B85635" w:rsidRPr="000C7B84">
        <w:rPr>
          <w:rFonts w:eastAsia="Calibri" w:cstheme="minorHAnsi"/>
          <w:color w:val="000000"/>
          <w:sz w:val="24"/>
          <w:szCs w:val="24"/>
          <w:lang w:eastAsia="it-IT"/>
        </w:rPr>
        <w:t>135</w:t>
      </w:r>
      <w:r w:rsidR="00A92A9D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bar in bombole da </w:t>
      </w:r>
      <w:r w:rsidR="00B85635" w:rsidRPr="000C7B84">
        <w:rPr>
          <w:rFonts w:eastAsia="Calibri" w:cstheme="minorHAnsi"/>
          <w:color w:val="000000"/>
          <w:sz w:val="24"/>
          <w:szCs w:val="24"/>
          <w:lang w:eastAsia="it-IT"/>
        </w:rPr>
        <w:t>5</w:t>
      </w:r>
      <w:r w:rsidR="00A92A9D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litri</w:t>
      </w:r>
      <w:r w:rsidR="00CC338D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e alla pressione di 170 bar in bombole da 2, </w:t>
      </w:r>
      <w:r w:rsidR="00BA78BC" w:rsidRPr="000C7B84">
        <w:rPr>
          <w:rFonts w:eastAsia="Calibri" w:cstheme="minorHAnsi"/>
          <w:color w:val="000000"/>
          <w:sz w:val="24"/>
          <w:szCs w:val="24"/>
          <w:lang w:eastAsia="it-IT"/>
        </w:rPr>
        <w:t>5 e 10 litri</w:t>
      </w:r>
      <w:r w:rsidR="00A92A9D" w:rsidRPr="000C7B84">
        <w:rPr>
          <w:rFonts w:eastAsia="Calibri" w:cstheme="minorHAnsi"/>
          <w:color w:val="000000"/>
          <w:sz w:val="24"/>
          <w:szCs w:val="24"/>
          <w:lang w:eastAsia="it-IT"/>
        </w:rPr>
        <w:t>.</w:t>
      </w:r>
    </w:p>
    <w:p w14:paraId="2CE4397D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C7B84">
        <w:rPr>
          <w:rFonts w:cstheme="minorHAnsi"/>
          <w:sz w:val="24"/>
          <w:szCs w:val="24"/>
        </w:rPr>
        <w:t>Non sono presenti eccipienti.</w:t>
      </w:r>
    </w:p>
    <w:p w14:paraId="4A7E42FB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8DC7777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Sviluppo farmaceutico</w:t>
      </w:r>
    </w:p>
    <w:p w14:paraId="6CDFF9BA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Sono stati forniti dettagli dello sviluppo farmaceutico e questi sono stati ritenuti soddisfacenti.</w:t>
      </w:r>
    </w:p>
    <w:p w14:paraId="677C4B2E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65D123B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 xml:space="preserve">Produzione </w:t>
      </w:r>
    </w:p>
    <w:p w14:paraId="5B913833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Sono stati forniti una descrizione del metodo di produzione e la relativa flow-chart.</w:t>
      </w:r>
    </w:p>
    <w:p w14:paraId="6D25E367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I controlli effettuati nel corso della produzione sono appropriati per la natura del medicinale e del metodo di produzione. Sono stati forniti, inoltre, dati soddisfacenti relativi alla convalida del metodo di produzione.</w:t>
      </w:r>
    </w:p>
    <w:p w14:paraId="6191CF51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31CB3BA8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Specifiche del prodotto finito</w:t>
      </w:r>
    </w:p>
    <w:p w14:paraId="5CBC5EB7" w14:textId="25C6B47F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Sono state fornite adeguate specifiche di controllo per il prodotto finito al rilascio e alla fine della validità. I metodi analitici sono stati descritti e adeguatamente convalidati. </w:t>
      </w:r>
      <w:r w:rsidR="00F42800" w:rsidRPr="000C7B84">
        <w:rPr>
          <w:rFonts w:cstheme="minorHAnsi"/>
          <w:sz w:val="24"/>
          <w:szCs w:val="24"/>
        </w:rPr>
        <w:t>Sono stati forniti, inoltre, dati analitici per il prodotto finito: questi dati dimostrano che i lotti prodotti sono in accordo alle specifiche proposte. Sono stati forniti, infine, dati adeguati per</w:t>
      </w:r>
      <w:r w:rsidR="00100021">
        <w:rPr>
          <w:rFonts w:cstheme="minorHAnsi"/>
          <w:sz w:val="24"/>
          <w:szCs w:val="24"/>
        </w:rPr>
        <w:t xml:space="preserve"> </w:t>
      </w:r>
      <w:r w:rsidR="00F42800" w:rsidRPr="000C7B84">
        <w:rPr>
          <w:rFonts w:cstheme="minorHAnsi"/>
          <w:sz w:val="24"/>
          <w:szCs w:val="24"/>
        </w:rPr>
        <w:t>la qualità degli standard di riferimento utilizzati.</w:t>
      </w:r>
    </w:p>
    <w:p w14:paraId="418A85A5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A35EBBF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lastRenderedPageBreak/>
        <w:t>Contenitore</w:t>
      </w:r>
    </w:p>
    <w:p w14:paraId="01A1F24E" w14:textId="7500E83E" w:rsidR="00A92A9D" w:rsidRPr="000C7B84" w:rsidRDefault="00D71470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="00A92A9D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="00A92A9D" w:rsidRPr="000C7B84">
        <w:rPr>
          <w:rFonts w:cstheme="minorHAnsi"/>
          <w:sz w:val="24"/>
          <w:szCs w:val="24"/>
        </w:rPr>
        <w:t>è confezionato in bombole</w:t>
      </w:r>
      <w:r w:rsidR="00C33EDD" w:rsidRPr="000C7B84">
        <w:rPr>
          <w:rFonts w:cstheme="minorHAnsi"/>
          <w:sz w:val="24"/>
          <w:szCs w:val="24"/>
        </w:rPr>
        <w:t xml:space="preserve"> in alluminio</w:t>
      </w:r>
      <w:r w:rsidR="00A92A9D" w:rsidRPr="000C7B84">
        <w:rPr>
          <w:rFonts w:cstheme="minorHAnsi"/>
          <w:sz w:val="24"/>
          <w:szCs w:val="24"/>
        </w:rPr>
        <w:t xml:space="preserve">, allo stato di gas compresso a </w:t>
      </w:r>
      <w:r w:rsidR="00467DAA" w:rsidRPr="000C7B84">
        <w:rPr>
          <w:rFonts w:cstheme="minorHAnsi"/>
          <w:sz w:val="24"/>
          <w:szCs w:val="24"/>
        </w:rPr>
        <w:t>135</w:t>
      </w:r>
      <w:r w:rsidR="00F42800" w:rsidRPr="000C7B84">
        <w:rPr>
          <w:rFonts w:cstheme="minorHAnsi"/>
          <w:sz w:val="24"/>
          <w:szCs w:val="24"/>
        </w:rPr>
        <w:t xml:space="preserve"> bar o a </w:t>
      </w:r>
      <w:r w:rsidR="00467DAA" w:rsidRPr="000C7B84">
        <w:rPr>
          <w:rFonts w:cstheme="minorHAnsi"/>
          <w:sz w:val="24"/>
          <w:szCs w:val="24"/>
        </w:rPr>
        <w:t>170</w:t>
      </w:r>
      <w:r w:rsidR="00A92A9D" w:rsidRPr="000C7B84">
        <w:rPr>
          <w:rFonts w:cstheme="minorHAnsi"/>
          <w:sz w:val="24"/>
          <w:szCs w:val="24"/>
        </w:rPr>
        <w:t xml:space="preserve"> bar a 15°C. </w:t>
      </w:r>
    </w:p>
    <w:p w14:paraId="3CD94DD0" w14:textId="62F3833A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Sono state fornite specifiche e certificati analitici per tutti i componenti del confezionamento primario, che è adeguato per</w:t>
      </w:r>
      <w:r w:rsidR="00D14347" w:rsidRPr="000C7B84">
        <w:rPr>
          <w:rFonts w:cstheme="minorHAnsi"/>
          <w:sz w:val="24"/>
          <w:szCs w:val="24"/>
        </w:rPr>
        <w:t xml:space="preserve"> </w:t>
      </w:r>
      <w:r w:rsidRPr="000C7B84">
        <w:rPr>
          <w:rFonts w:cstheme="minorHAnsi"/>
          <w:sz w:val="24"/>
          <w:szCs w:val="24"/>
        </w:rPr>
        <w:t>il medicinale.</w:t>
      </w:r>
    </w:p>
    <w:p w14:paraId="778AF63C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91540A7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Stabilità</w:t>
      </w:r>
    </w:p>
    <w:p w14:paraId="2F5E0D07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Dati/informazioni sulla stabilità sul prodotto finito sono stati forniti in accordo alle correnti linee guida. Sulla base di quanto presentato, è stato autorizzato un periodo di validità di due anni con le seguenti precauzioni per la conservazione:  </w:t>
      </w:r>
    </w:p>
    <w:p w14:paraId="5036815F" w14:textId="70B5DA2E" w:rsidR="00A92A9D" w:rsidRDefault="00B05A50" w:rsidP="009D1F10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conservare fra 10 °C e 40 °C. Non congelare. Se si sospetta che PROTOX sia stato conservato ad una temperatura eccessivamente bassa, è necessario tenere le bombole in posizione orizzontale a una temperatura superiore a</w:t>
      </w:r>
      <w:r w:rsidR="00417D9E">
        <w:rPr>
          <w:rFonts w:cstheme="minorHAnsi"/>
          <w:sz w:val="24"/>
          <w:szCs w:val="24"/>
        </w:rPr>
        <w:t xml:space="preserve"> </w:t>
      </w:r>
      <w:r w:rsidRPr="000C7B84">
        <w:rPr>
          <w:rFonts w:cstheme="minorHAnsi"/>
          <w:sz w:val="24"/>
          <w:szCs w:val="24"/>
        </w:rPr>
        <w:t>10</w:t>
      </w:r>
      <w:r w:rsidR="00F66455">
        <w:rPr>
          <w:rFonts w:cstheme="minorHAnsi"/>
          <w:sz w:val="24"/>
          <w:szCs w:val="24"/>
        </w:rPr>
        <w:t xml:space="preserve"> °</w:t>
      </w:r>
      <w:r w:rsidRPr="000C7B84">
        <w:rPr>
          <w:rFonts w:cstheme="minorHAnsi"/>
          <w:sz w:val="24"/>
          <w:szCs w:val="24"/>
        </w:rPr>
        <w:t xml:space="preserve">C per almeno </w:t>
      </w:r>
      <w:r w:rsidR="00417D9E">
        <w:rPr>
          <w:rFonts w:cstheme="minorHAnsi"/>
          <w:sz w:val="24"/>
          <w:szCs w:val="24"/>
        </w:rPr>
        <w:t>48</w:t>
      </w:r>
      <w:r w:rsidR="005978A6">
        <w:rPr>
          <w:rFonts w:cstheme="minorHAnsi"/>
          <w:sz w:val="24"/>
          <w:szCs w:val="24"/>
        </w:rPr>
        <w:t xml:space="preserve"> </w:t>
      </w:r>
      <w:r w:rsidRPr="000C7B84">
        <w:rPr>
          <w:rFonts w:cstheme="minorHAnsi"/>
          <w:sz w:val="24"/>
          <w:szCs w:val="24"/>
        </w:rPr>
        <w:t>ore prima dell’uso</w:t>
      </w:r>
      <w:r w:rsidR="00031146">
        <w:rPr>
          <w:rFonts w:cstheme="minorHAnsi"/>
          <w:sz w:val="24"/>
          <w:szCs w:val="24"/>
        </w:rPr>
        <w:t xml:space="preserve">. </w:t>
      </w:r>
    </w:p>
    <w:p w14:paraId="7C3E72F9" w14:textId="77777777" w:rsidR="00DF6434" w:rsidRPr="00DF6434" w:rsidRDefault="00DF6434" w:rsidP="00DF643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DFC137C" w14:textId="77777777" w:rsidR="00B05A50" w:rsidRPr="000C7B84" w:rsidRDefault="00B05A50" w:rsidP="00B05A50">
      <w:pPr>
        <w:spacing w:after="0" w:line="240" w:lineRule="auto"/>
        <w:jc w:val="both"/>
        <w:rPr>
          <w:rFonts w:cstheme="minorHAnsi"/>
          <w:sz w:val="24"/>
          <w:szCs w:val="24"/>
          <w:highlight w:val="yellow"/>
        </w:rPr>
      </w:pPr>
    </w:p>
    <w:p w14:paraId="560DF96B" w14:textId="77777777" w:rsidR="00A92A9D" w:rsidRPr="000C7B84" w:rsidRDefault="00A92A9D" w:rsidP="00A92A9D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II.3 Discussione sugli aspetti di qualità</w:t>
      </w:r>
    </w:p>
    <w:p w14:paraId="71266AE4" w14:textId="377E6A22" w:rsidR="00A92A9D" w:rsidRPr="000C7B84" w:rsidRDefault="00A92A9D" w:rsidP="00A92A9D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Tutte le criticità evidenziate nel corso della valutazione sono state risolte e la qualità di </w:t>
      </w:r>
      <w:r w:rsidR="0053654D"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0C7B84">
        <w:rPr>
          <w:rFonts w:cstheme="minorHAnsi"/>
          <w:sz w:val="24"/>
          <w:szCs w:val="24"/>
        </w:rPr>
        <w:t>è considerata adeguata. Pertanto</w:t>
      </w:r>
      <w:r w:rsidR="00A76380" w:rsidRPr="000C7B84">
        <w:rPr>
          <w:rFonts w:cstheme="minorHAnsi"/>
          <w:sz w:val="24"/>
          <w:szCs w:val="24"/>
        </w:rPr>
        <w:t>,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0C7B84">
        <w:rPr>
          <w:rFonts w:cstheme="minorHAnsi"/>
          <w:sz w:val="24"/>
          <w:szCs w:val="24"/>
        </w:rPr>
        <w:t xml:space="preserve">dal punto di vista chimico-farmaceutico </w:t>
      </w:r>
      <w:r w:rsidR="00A76380" w:rsidRPr="000C7B84">
        <w:rPr>
          <w:rFonts w:cstheme="minorHAnsi"/>
          <w:sz w:val="24"/>
          <w:szCs w:val="24"/>
        </w:rPr>
        <w:t>PROTOX è</w:t>
      </w:r>
      <w:r w:rsidRPr="000C7B84">
        <w:rPr>
          <w:rFonts w:cstheme="minorHAnsi"/>
          <w:sz w:val="24"/>
          <w:szCs w:val="24"/>
        </w:rPr>
        <w:t xml:space="preserve"> stato considerato accettabile per l’autorizzazione all’immissione in commercio. </w:t>
      </w:r>
    </w:p>
    <w:p w14:paraId="4CFD5477" w14:textId="77777777" w:rsidR="006F0C11" w:rsidRPr="000C7B84" w:rsidRDefault="006F0C11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B26642F" w14:textId="3F1C09EE" w:rsidR="003325CB" w:rsidRPr="000C7B84" w:rsidRDefault="004E5A39" w:rsidP="003325CB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ASPETTI NON CLINICI</w:t>
      </w:r>
    </w:p>
    <w:p w14:paraId="0F1F8DE9" w14:textId="6F8375A6" w:rsidR="00610BAB" w:rsidRPr="000C7B84" w:rsidRDefault="00D8546F" w:rsidP="00853EC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>Le proprietà farmacodinamiche, farmacocinetiche e tossicologiche di PROTOX sono ben conosciute; pertanto, non sono richiesti nuovi studi non clinici. Il richiedente l’AIC ha presentato una approfondita rassegna di dati bibliografici farmacologici, farmacocinetici e tossicologici relative ai principi attivi contenuti in PROTOX, accompagnata da una adeguata relazione critica, redatta da un esperto qualificato, sull’uso di PROTOX nella forma/dosaggio indicate e per le indicazioni proposte.</w:t>
      </w:r>
    </w:p>
    <w:p w14:paraId="6C73DDA1" w14:textId="18C76CC7" w:rsidR="009F584E" w:rsidRPr="000C7B84" w:rsidRDefault="00610BAB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Pertanto</w:t>
      </w:r>
      <w:r w:rsidR="00D8546F" w:rsidRPr="000C7B84">
        <w:rPr>
          <w:rFonts w:cstheme="minorHAnsi"/>
          <w:sz w:val="24"/>
          <w:szCs w:val="24"/>
        </w:rPr>
        <w:t>,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0C7B84">
        <w:rPr>
          <w:rFonts w:cstheme="minorHAnsi"/>
          <w:sz w:val="24"/>
          <w:szCs w:val="24"/>
        </w:rPr>
        <w:t xml:space="preserve">dal punto di vista non clinico </w:t>
      </w:r>
      <w:r w:rsidR="00153B3C"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="00323648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0C7B84">
        <w:rPr>
          <w:rFonts w:cstheme="minorHAnsi"/>
          <w:sz w:val="24"/>
          <w:szCs w:val="24"/>
        </w:rPr>
        <w:t>è stato considerato accettabile per l’autorizzazione all’immissione in commercio.</w:t>
      </w:r>
    </w:p>
    <w:p w14:paraId="1F7C2326" w14:textId="77777777" w:rsidR="00953384" w:rsidRPr="000C7B84" w:rsidRDefault="00953384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6353E22" w14:textId="6BF80281" w:rsidR="006E655F" w:rsidRPr="000C7B84" w:rsidRDefault="006E655F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Il titolare AIC ha presentato una adeguata documentazione relativa alla valutazione del rischio ambientale </w:t>
      </w:r>
      <w:r w:rsidRPr="000C7B84">
        <w:rPr>
          <w:rFonts w:cstheme="minorHAnsi"/>
          <w:color w:val="000000"/>
          <w:sz w:val="24"/>
          <w:szCs w:val="24"/>
          <w:lang w:eastAsia="it-IT"/>
        </w:rPr>
        <w:t xml:space="preserve">di </w:t>
      </w:r>
      <w:r w:rsidR="00751F78" w:rsidRPr="00751F78">
        <w:rPr>
          <w:rFonts w:cstheme="minorHAnsi"/>
          <w:sz w:val="24"/>
          <w:szCs w:val="24"/>
          <w:lang w:eastAsia="it-IT"/>
        </w:rPr>
        <w:t>PROTOX</w:t>
      </w:r>
      <w:r w:rsidR="00751F78">
        <w:rPr>
          <w:rFonts w:cstheme="minorHAnsi"/>
          <w:sz w:val="24"/>
          <w:szCs w:val="24"/>
          <w:lang w:eastAsia="it-IT"/>
        </w:rPr>
        <w:t>.</w:t>
      </w:r>
    </w:p>
    <w:p w14:paraId="055BE390" w14:textId="77777777" w:rsidR="006E655F" w:rsidRPr="000C7B84" w:rsidRDefault="006E655F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7AD732" w14:textId="5A22A98A" w:rsidR="000A2B97" w:rsidRPr="000C7B84" w:rsidRDefault="004E5A39" w:rsidP="0095338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ASPETTI CLINICI</w:t>
      </w:r>
    </w:p>
    <w:p w14:paraId="15442F17" w14:textId="31C176F0" w:rsidR="00C06012" w:rsidRPr="000C7B84" w:rsidRDefault="00C06012" w:rsidP="00C06012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PROTOX è utilizzato per</w:t>
      </w:r>
      <w:r w:rsidR="00302038" w:rsidRPr="000C7B84">
        <w:rPr>
          <w:rFonts w:cstheme="minorHAnsi"/>
          <w:sz w:val="24"/>
          <w:szCs w:val="24"/>
        </w:rPr>
        <w:t>:</w:t>
      </w:r>
    </w:p>
    <w:p w14:paraId="7652E86E" w14:textId="27D89381" w:rsidR="00302038" w:rsidRPr="000C7B84" w:rsidRDefault="00AE6787" w:rsidP="00302038">
      <w:pPr>
        <w:pStyle w:val="Paragrafoelenco"/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Il </w:t>
      </w:r>
      <w:r w:rsidR="00302038" w:rsidRPr="000C7B84">
        <w:rPr>
          <w:rFonts w:cstheme="minorHAnsi"/>
          <w:sz w:val="24"/>
          <w:szCs w:val="24"/>
        </w:rPr>
        <w:t xml:space="preserve">trattamento di condizioni dolorose di breve durata, di intensità da lieve a moderata, quando si desidera un effetto analgesico che si instauri e che scompaia rapidamente; </w:t>
      </w:r>
    </w:p>
    <w:p w14:paraId="5F9BC7F5" w14:textId="28579C1D" w:rsidR="00302038" w:rsidRPr="000C7B84" w:rsidRDefault="00AE6787" w:rsidP="00C06012">
      <w:pPr>
        <w:pStyle w:val="Paragrafoelenco"/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i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la </w:t>
      </w:r>
      <w:r w:rsidR="00302038" w:rsidRPr="000C7B84">
        <w:rPr>
          <w:rFonts w:cstheme="minorHAnsi"/>
          <w:sz w:val="24"/>
          <w:szCs w:val="24"/>
        </w:rPr>
        <w:t xml:space="preserve">sedazione durante </w:t>
      </w:r>
      <w:r w:rsidRPr="000C7B84">
        <w:rPr>
          <w:rFonts w:cstheme="minorHAnsi"/>
          <w:sz w:val="24"/>
          <w:szCs w:val="24"/>
        </w:rPr>
        <w:t xml:space="preserve">la </w:t>
      </w:r>
      <w:r w:rsidR="00302038" w:rsidRPr="000C7B84">
        <w:rPr>
          <w:rFonts w:cstheme="minorHAnsi"/>
          <w:sz w:val="24"/>
          <w:szCs w:val="24"/>
        </w:rPr>
        <w:t>chirurgia dentale in pazienti ansiosi.</w:t>
      </w:r>
    </w:p>
    <w:p w14:paraId="09D21F9E" w14:textId="77777777" w:rsidR="004E5A39" w:rsidRPr="000C7B84" w:rsidRDefault="004E5A39" w:rsidP="00EF6711">
      <w:pPr>
        <w:spacing w:after="0" w:line="240" w:lineRule="auto"/>
        <w:ind w:right="6"/>
        <w:jc w:val="both"/>
        <w:rPr>
          <w:rFonts w:cstheme="minorHAnsi"/>
          <w:sz w:val="24"/>
          <w:szCs w:val="24"/>
        </w:rPr>
      </w:pPr>
    </w:p>
    <w:p w14:paraId="5D13AAFE" w14:textId="77777777" w:rsidR="004E5A39" w:rsidRPr="000C7B84" w:rsidRDefault="004E5A39" w:rsidP="00EF6711">
      <w:pPr>
        <w:spacing w:after="0" w:line="240" w:lineRule="auto"/>
        <w:ind w:right="6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Posologia e modalità di somministrazione</w:t>
      </w:r>
    </w:p>
    <w:p w14:paraId="5693ADC3" w14:textId="52603566" w:rsidR="004E5A39" w:rsidRPr="000C7B84" w:rsidRDefault="004E5A39" w:rsidP="00EF6711">
      <w:pPr>
        <w:spacing w:after="0" w:line="240" w:lineRule="auto"/>
        <w:ind w:right="6"/>
        <w:jc w:val="both"/>
        <w:rPr>
          <w:rFonts w:eastAsia="Calibri" w:cstheme="minorHAnsi"/>
          <w:sz w:val="24"/>
          <w:szCs w:val="24"/>
          <w:lang w:eastAsia="it-IT"/>
        </w:rPr>
      </w:pPr>
      <w:r w:rsidRPr="000C7B84">
        <w:rPr>
          <w:rFonts w:cstheme="minorHAnsi"/>
          <w:sz w:val="24"/>
          <w:szCs w:val="24"/>
        </w:rPr>
        <w:t xml:space="preserve">Le informazioni sulla posologia e sulle modalità di somministrazione sono riportate nel Riassunto delle Caratteristiche del Prodotto pubblicato sul sito dell’Agenzia Italiana del Farmaco - AIFA </w:t>
      </w:r>
      <w:r w:rsidRPr="000C7B84">
        <w:rPr>
          <w:rFonts w:eastAsia="Calibri" w:cstheme="minorHAnsi"/>
          <w:sz w:val="24"/>
          <w:szCs w:val="24"/>
          <w:lang w:eastAsia="it-IT"/>
        </w:rPr>
        <w:t>(</w:t>
      </w:r>
      <w:hyperlink r:id="rId10" w:anchor="/it/" w:history="1">
        <w:r w:rsidR="00326095" w:rsidRPr="000C7B84">
          <w:rPr>
            <w:rStyle w:val="Collegamentoipertestuale"/>
            <w:rFonts w:cstheme="minorHAnsi"/>
            <w:sz w:val="24"/>
            <w:szCs w:val="24"/>
          </w:rPr>
          <w:t>https://medicinali.aifa.gov.it/it/#/it/</w:t>
        </w:r>
        <w:r w:rsidRPr="000C7B84">
          <w:rPr>
            <w:rStyle w:val="Collegamentoipertestuale"/>
            <w:rFonts w:eastAsia="Calibri" w:cstheme="minorHAnsi"/>
            <w:sz w:val="24"/>
            <w:szCs w:val="24"/>
            <w:lang w:eastAsia="it-IT"/>
          </w:rPr>
          <w:t>).</w:t>
        </w:r>
      </w:hyperlink>
    </w:p>
    <w:p w14:paraId="7A7DE35C" w14:textId="77777777" w:rsidR="004E5A39" w:rsidRPr="000C7B84" w:rsidRDefault="004E5A39" w:rsidP="00EF6711">
      <w:pPr>
        <w:spacing w:after="0" w:line="240" w:lineRule="auto"/>
        <w:ind w:right="6"/>
        <w:jc w:val="both"/>
        <w:rPr>
          <w:rFonts w:eastAsia="Calibri" w:cstheme="minorHAnsi"/>
          <w:sz w:val="24"/>
          <w:szCs w:val="24"/>
          <w:lang w:eastAsia="it-IT"/>
        </w:rPr>
      </w:pPr>
    </w:p>
    <w:p w14:paraId="31173B78" w14:textId="0DA56EBB" w:rsidR="001302AA" w:rsidRPr="000C7B84" w:rsidRDefault="001302AA" w:rsidP="00EF6711">
      <w:pPr>
        <w:spacing w:after="0" w:line="240" w:lineRule="auto"/>
        <w:ind w:right="6"/>
        <w:jc w:val="both"/>
        <w:rPr>
          <w:rFonts w:eastAsia="Calibri" w:cstheme="minorHAnsi"/>
          <w:b/>
          <w:bCs/>
          <w:sz w:val="24"/>
          <w:szCs w:val="24"/>
          <w:lang w:eastAsia="it-IT"/>
        </w:rPr>
      </w:pPr>
      <w:r w:rsidRPr="000C7B84">
        <w:rPr>
          <w:rFonts w:eastAsia="Calibri" w:cstheme="minorHAnsi"/>
          <w:b/>
          <w:bCs/>
          <w:sz w:val="24"/>
          <w:szCs w:val="24"/>
          <w:lang w:eastAsia="it-IT"/>
        </w:rPr>
        <w:t>Efficacia e sicurezza clinica</w:t>
      </w:r>
    </w:p>
    <w:p w14:paraId="213B886C" w14:textId="60C7CAAD" w:rsidR="00524233" w:rsidRPr="000C7B84" w:rsidRDefault="00524233" w:rsidP="00524233">
      <w:pPr>
        <w:spacing w:after="0" w:line="240" w:lineRule="auto"/>
        <w:jc w:val="both"/>
        <w:rPr>
          <w:rFonts w:cstheme="minorHAnsi"/>
          <w:color w:val="000000"/>
          <w:sz w:val="24"/>
          <w:szCs w:val="24"/>
          <w:lang w:eastAsia="it-IT"/>
        </w:rPr>
      </w:pPr>
      <w:r w:rsidRPr="000C7B84">
        <w:rPr>
          <w:rFonts w:cstheme="minorHAnsi"/>
          <w:sz w:val="24"/>
          <w:szCs w:val="24"/>
        </w:rPr>
        <w:t xml:space="preserve">L’efficacia e la sicurezza del principio attivo di </w:t>
      </w:r>
      <w:r w:rsidRPr="000C7B84">
        <w:rPr>
          <w:rFonts w:cstheme="minorHAnsi"/>
          <w:color w:val="000000"/>
          <w:sz w:val="24"/>
          <w:szCs w:val="24"/>
          <w:lang w:eastAsia="it-IT"/>
        </w:rPr>
        <w:t xml:space="preserve">PROTOX per l’indicazione terapeutica proposta </w:t>
      </w:r>
      <w:r w:rsidRPr="000C7B84">
        <w:rPr>
          <w:rFonts w:cstheme="minorHAnsi"/>
          <w:sz w:val="24"/>
          <w:szCs w:val="24"/>
        </w:rPr>
        <w:t xml:space="preserve">sono ben conosciute; pertanto, non sono richiesti nuovi studi clinici. Il richiedente l’AIC ha presentato una approfondita rassegna di dati clinici da letteratura scientifica relativi ai principi attivi contenuti in </w:t>
      </w:r>
      <w:r w:rsidRPr="000C7B84">
        <w:rPr>
          <w:rFonts w:cstheme="minorHAnsi"/>
          <w:color w:val="000000"/>
          <w:sz w:val="24"/>
          <w:szCs w:val="24"/>
          <w:lang w:eastAsia="it-IT"/>
        </w:rPr>
        <w:t>PROTOX</w:t>
      </w:r>
      <w:r w:rsidRPr="000C7B84">
        <w:rPr>
          <w:rFonts w:cstheme="minorHAnsi"/>
          <w:sz w:val="24"/>
          <w:szCs w:val="24"/>
        </w:rPr>
        <w:t xml:space="preserve">, accompagnata da una adeguata relazione critica, redatta da un esperto qualificato, sull’uso di </w:t>
      </w:r>
      <w:r w:rsidR="00977723">
        <w:rPr>
          <w:rFonts w:cstheme="minorHAnsi"/>
          <w:color w:val="000000"/>
          <w:sz w:val="24"/>
          <w:szCs w:val="24"/>
          <w:lang w:eastAsia="it-IT"/>
        </w:rPr>
        <w:t xml:space="preserve">PROTOX </w:t>
      </w:r>
      <w:r w:rsidRPr="000C7B84">
        <w:rPr>
          <w:rFonts w:cstheme="minorHAnsi"/>
          <w:color w:val="000000"/>
          <w:sz w:val="24"/>
          <w:szCs w:val="24"/>
          <w:lang w:eastAsia="it-IT"/>
        </w:rPr>
        <w:t>nella forma/dosaggio indicate e per le indicazioni proposte</w:t>
      </w:r>
      <w:r w:rsidR="00302038" w:rsidRPr="000C7B84">
        <w:rPr>
          <w:rFonts w:cstheme="minorHAnsi"/>
          <w:color w:val="000000"/>
          <w:sz w:val="24"/>
          <w:szCs w:val="24"/>
          <w:lang w:eastAsia="it-IT"/>
        </w:rPr>
        <w:t>:</w:t>
      </w:r>
    </w:p>
    <w:p w14:paraId="51C4E107" w14:textId="7C5A265B" w:rsidR="00302038" w:rsidRPr="000C7B84" w:rsidRDefault="00AE6787" w:rsidP="00302038">
      <w:pPr>
        <w:pStyle w:val="Paragrafoelenco"/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lastRenderedPageBreak/>
        <w:t xml:space="preserve">il </w:t>
      </w:r>
      <w:r w:rsidR="00302038" w:rsidRPr="000C7B84">
        <w:rPr>
          <w:rFonts w:cstheme="minorHAnsi"/>
          <w:sz w:val="24"/>
          <w:szCs w:val="24"/>
        </w:rPr>
        <w:t xml:space="preserve">trattamento di condizioni dolorose di breve durata, di intensità da lieve a moderata, quando si desidera un effetto analgesico che si instauri e che scompaia rapidamente; </w:t>
      </w:r>
    </w:p>
    <w:p w14:paraId="08F9B495" w14:textId="5F9D9B25" w:rsidR="00302038" w:rsidRPr="000C7B84" w:rsidRDefault="00AE6787" w:rsidP="00302038">
      <w:pPr>
        <w:pStyle w:val="Paragrafoelenco"/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i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la </w:t>
      </w:r>
      <w:r w:rsidR="00302038" w:rsidRPr="000C7B84">
        <w:rPr>
          <w:rFonts w:cstheme="minorHAnsi"/>
          <w:sz w:val="24"/>
          <w:szCs w:val="24"/>
        </w:rPr>
        <w:t xml:space="preserve">sedazione durante </w:t>
      </w:r>
      <w:r w:rsidRPr="000C7B84">
        <w:rPr>
          <w:rFonts w:cstheme="minorHAnsi"/>
          <w:sz w:val="24"/>
          <w:szCs w:val="24"/>
        </w:rPr>
        <w:t xml:space="preserve">la </w:t>
      </w:r>
      <w:r w:rsidR="00302038" w:rsidRPr="000C7B84">
        <w:rPr>
          <w:rFonts w:cstheme="minorHAnsi"/>
          <w:sz w:val="24"/>
          <w:szCs w:val="24"/>
        </w:rPr>
        <w:t>chirurgia dentale in pazienti ansiosi.</w:t>
      </w:r>
    </w:p>
    <w:p w14:paraId="1518DF5D" w14:textId="2DD01578" w:rsidR="004B5B15" w:rsidRPr="000C7B84" w:rsidRDefault="004B5B15" w:rsidP="00EF6711">
      <w:pPr>
        <w:spacing w:after="0" w:line="240" w:lineRule="auto"/>
        <w:jc w:val="both"/>
        <w:rPr>
          <w:rFonts w:cstheme="minorHAnsi"/>
          <w:sz w:val="24"/>
          <w:szCs w:val="24"/>
          <w:highlight w:val="cyan"/>
        </w:rPr>
      </w:pPr>
    </w:p>
    <w:p w14:paraId="763DC1AF" w14:textId="77777777" w:rsidR="004E5A39" w:rsidRPr="000C7B84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Piano di Valutazione del Rischio (</w:t>
      </w:r>
      <w:proofErr w:type="spellStart"/>
      <w:r w:rsidRPr="000C7B84">
        <w:rPr>
          <w:rFonts w:cstheme="minorHAnsi"/>
          <w:b/>
          <w:i/>
          <w:sz w:val="24"/>
          <w:szCs w:val="24"/>
        </w:rPr>
        <w:t>Risk</w:t>
      </w:r>
      <w:proofErr w:type="spellEnd"/>
      <w:r w:rsidRPr="000C7B84">
        <w:rPr>
          <w:rFonts w:cstheme="minorHAnsi"/>
          <w:b/>
          <w:i/>
          <w:sz w:val="24"/>
          <w:szCs w:val="24"/>
        </w:rPr>
        <w:t xml:space="preserve"> Management Plan</w:t>
      </w:r>
      <w:r w:rsidRPr="000C7B84">
        <w:rPr>
          <w:rFonts w:cstheme="minorHAnsi"/>
          <w:b/>
          <w:sz w:val="24"/>
          <w:szCs w:val="24"/>
        </w:rPr>
        <w:t xml:space="preserve"> - RMP)</w:t>
      </w:r>
    </w:p>
    <w:p w14:paraId="3A3C3AAE" w14:textId="2CE9147B" w:rsidR="004E5A39" w:rsidRPr="000C7B84" w:rsidRDefault="00A76C45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È</w:t>
      </w:r>
      <w:r w:rsidR="004E5A39" w:rsidRPr="000C7B84">
        <w:rPr>
          <w:rFonts w:cstheme="minorHAnsi"/>
          <w:sz w:val="24"/>
          <w:szCs w:val="24"/>
        </w:rPr>
        <w:t xml:space="preserve"> stato presentato un RMP in accordo a quanto previsto dalla Direttiva 2001/83/EU </w:t>
      </w:r>
      <w:proofErr w:type="spellStart"/>
      <w:r w:rsidR="004E5A39" w:rsidRPr="000C7B84">
        <w:rPr>
          <w:rFonts w:cstheme="minorHAnsi"/>
          <w:sz w:val="24"/>
          <w:szCs w:val="24"/>
        </w:rPr>
        <w:t>s.m.i.</w:t>
      </w:r>
      <w:proofErr w:type="spellEnd"/>
      <w:r w:rsidR="004E5A39" w:rsidRPr="000C7B84">
        <w:rPr>
          <w:rFonts w:cstheme="minorHAnsi"/>
          <w:sz w:val="24"/>
          <w:szCs w:val="24"/>
        </w:rPr>
        <w:t xml:space="preserve"> che descrive le attività di farmacovigilanza e gli interventi definiti al fine di identificare, caratterizzare, prevenire o minimizzare i rischi collegati all’uso di </w:t>
      </w:r>
      <w:r w:rsidR="00153B3C"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="004E5A39" w:rsidRPr="000C7B84">
        <w:rPr>
          <w:rFonts w:cstheme="minorHAnsi"/>
          <w:sz w:val="24"/>
          <w:szCs w:val="24"/>
        </w:rPr>
        <w:t>.</w:t>
      </w:r>
    </w:p>
    <w:p w14:paraId="33A3F277" w14:textId="77777777" w:rsidR="00265B61" w:rsidRPr="000C7B84" w:rsidRDefault="00265B61" w:rsidP="00265B6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Il riassunto delle problematiche di sicurezza è riportato nella tabella seguente.</w:t>
      </w:r>
    </w:p>
    <w:p w14:paraId="11284F76" w14:textId="77777777" w:rsidR="0033307F" w:rsidRPr="000C7B84" w:rsidRDefault="0033307F" w:rsidP="00265B6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2FB5EBFB" w14:textId="22237480" w:rsidR="0033307F" w:rsidRPr="000C7B84" w:rsidRDefault="00666DFA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noProof/>
          <w:sz w:val="24"/>
          <w:szCs w:val="24"/>
          <w:lang w:eastAsia="it-IT"/>
        </w:rPr>
        <w:drawing>
          <wp:inline distT="0" distB="0" distL="0" distR="0" wp14:anchorId="45391629" wp14:editId="73BE893D">
            <wp:extent cx="6263640" cy="1709420"/>
            <wp:effectExtent l="0" t="0" r="3810" b="5080"/>
            <wp:docPr id="94608177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08177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3640" cy="170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310F2" w14:textId="77777777" w:rsidR="00666DFA" w:rsidRPr="000C7B84" w:rsidRDefault="00666DFA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0D286D9D" w14:textId="5AE2BD22" w:rsidR="004E5A39" w:rsidRPr="000C7B84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Azioni routinarie di farmacovigilanza e di minimizzazione del rischio sono proposte per tutte le problematiche</w:t>
      </w:r>
      <w:r w:rsidR="008E3347">
        <w:rPr>
          <w:rFonts w:cstheme="minorHAnsi"/>
          <w:sz w:val="24"/>
          <w:szCs w:val="24"/>
        </w:rPr>
        <w:t xml:space="preserve"> </w:t>
      </w:r>
      <w:r w:rsidRPr="000C7B84">
        <w:rPr>
          <w:rFonts w:cstheme="minorHAnsi"/>
          <w:sz w:val="24"/>
          <w:szCs w:val="24"/>
        </w:rPr>
        <w:t>di sicurezza.</w:t>
      </w:r>
    </w:p>
    <w:p w14:paraId="6301E4E4" w14:textId="77777777" w:rsidR="00461D93" w:rsidRPr="000C7B84" w:rsidRDefault="004E5A39" w:rsidP="009254CC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>Oltre le misure previste nel Riassunto delle caratteristiche del prodotto non sono previste attività addizionali di minimizzazione del rischio</w:t>
      </w:r>
      <w:r w:rsidR="009254CC" w:rsidRPr="000C7B84">
        <w:rPr>
          <w:rFonts w:cstheme="minorHAnsi"/>
          <w:sz w:val="24"/>
          <w:szCs w:val="24"/>
        </w:rPr>
        <w:t xml:space="preserve">. </w:t>
      </w:r>
    </w:p>
    <w:p w14:paraId="38F84C5D" w14:textId="77777777" w:rsidR="004E5A39" w:rsidRPr="000C7B84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2C8EDF41" w14:textId="5BCD8F8B" w:rsidR="009254CC" w:rsidRPr="000C7B84" w:rsidRDefault="009254CC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Per maggiori dettagli circa le attività di farmacovigilanza previste per </w:t>
      </w:r>
      <w:r w:rsidR="00153B3C"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si può consultare </w:t>
      </w:r>
      <w:r w:rsidR="00A76C45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il </w:t>
      </w:r>
      <w:r w:rsidR="00A76C45" w:rsidRPr="000C7B84">
        <w:rPr>
          <w:rFonts w:cstheme="minorHAnsi"/>
          <w:sz w:val="24"/>
          <w:szCs w:val="24"/>
        </w:rPr>
        <w:t>“</w:t>
      </w:r>
      <w:proofErr w:type="spellStart"/>
      <w:r w:rsidR="009568D6" w:rsidRPr="000C7B84">
        <w:rPr>
          <w:rFonts w:cstheme="minorHAnsi"/>
          <w:sz w:val="24"/>
          <w:szCs w:val="24"/>
        </w:rPr>
        <w:t>Summary</w:t>
      </w:r>
      <w:proofErr w:type="spellEnd"/>
      <w:r w:rsidR="009568D6" w:rsidRPr="000C7B84">
        <w:rPr>
          <w:rFonts w:cstheme="minorHAnsi"/>
          <w:sz w:val="24"/>
          <w:szCs w:val="24"/>
        </w:rPr>
        <w:t xml:space="preserve"> </w:t>
      </w:r>
      <w:r w:rsidRPr="000C7B84">
        <w:rPr>
          <w:rFonts w:cstheme="minorHAnsi"/>
          <w:sz w:val="24"/>
          <w:szCs w:val="24"/>
        </w:rPr>
        <w:t>RMP</w:t>
      </w:r>
      <w:r w:rsidR="009568D6" w:rsidRPr="000C7B84">
        <w:rPr>
          <w:rFonts w:cstheme="minorHAnsi"/>
          <w:sz w:val="24"/>
          <w:szCs w:val="24"/>
        </w:rPr>
        <w:t>” allegato.</w:t>
      </w:r>
    </w:p>
    <w:p w14:paraId="00179B95" w14:textId="77777777" w:rsidR="004E5A39" w:rsidRPr="000C7B84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24B843E0" w14:textId="77777777" w:rsidR="004E5A39" w:rsidRPr="000C7B84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Conclusioni</w:t>
      </w:r>
    </w:p>
    <w:p w14:paraId="34375E86" w14:textId="5D0ADA6E" w:rsidR="007E16CB" w:rsidRPr="000C7B84" w:rsidRDefault="007E16CB" w:rsidP="007E16CB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Per la richiesta di AIC di </w:t>
      </w:r>
      <w:r w:rsidRPr="000C7B84">
        <w:rPr>
          <w:rFonts w:cstheme="minorHAnsi"/>
          <w:color w:val="000000"/>
          <w:sz w:val="24"/>
          <w:szCs w:val="24"/>
          <w:lang w:eastAsia="it-IT"/>
        </w:rPr>
        <w:t xml:space="preserve">PROTOX </w:t>
      </w:r>
      <w:r w:rsidRPr="000C7B84">
        <w:rPr>
          <w:rFonts w:cstheme="minorHAnsi"/>
          <w:sz w:val="24"/>
          <w:szCs w:val="24"/>
        </w:rPr>
        <w:t>sono state presentate sufficienti informazioni cliniche.</w:t>
      </w:r>
    </w:p>
    <w:p w14:paraId="4B321A5D" w14:textId="45250C1D" w:rsidR="007E16CB" w:rsidRPr="000C7B84" w:rsidRDefault="007E16CB" w:rsidP="007E16CB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Il rapporto beneficio/rischio di </w:t>
      </w:r>
      <w:r w:rsidRPr="000C7B84">
        <w:rPr>
          <w:rFonts w:cstheme="minorHAnsi"/>
          <w:color w:val="000000"/>
          <w:sz w:val="24"/>
          <w:szCs w:val="24"/>
          <w:lang w:eastAsia="it-IT"/>
        </w:rPr>
        <w:t xml:space="preserve">PROTOX </w:t>
      </w:r>
      <w:r w:rsidRPr="000C7B84">
        <w:rPr>
          <w:rFonts w:cstheme="minorHAnsi"/>
          <w:sz w:val="24"/>
          <w:szCs w:val="24"/>
        </w:rPr>
        <w:t>è considerato favorevole dal punto di vista clinico.</w:t>
      </w:r>
    </w:p>
    <w:p w14:paraId="5B885617" w14:textId="6D389EC7" w:rsidR="004E5A39" w:rsidRPr="000C7B84" w:rsidRDefault="004E5A39" w:rsidP="00EF6711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14:paraId="185BA4CC" w14:textId="77777777" w:rsidR="004E5A39" w:rsidRPr="000C7B84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CONSULTAZIONE SUL FOGLIO ILLUSTRATIVO</w:t>
      </w:r>
    </w:p>
    <w:p w14:paraId="0E0C7FD5" w14:textId="7150D1F4" w:rsidR="004631F3" w:rsidRDefault="003E76CB" w:rsidP="003E76CB">
      <w:pPr>
        <w:pStyle w:val="Paragrafoelenco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Il </w:t>
      </w:r>
      <w:proofErr w:type="spellStart"/>
      <w:r w:rsidRPr="000C7B84">
        <w:rPr>
          <w:rFonts w:cstheme="minorHAnsi"/>
          <w:sz w:val="24"/>
          <w:szCs w:val="24"/>
        </w:rPr>
        <w:t>bridging</w:t>
      </w:r>
      <w:proofErr w:type="spellEnd"/>
      <w:r w:rsidRPr="000C7B84">
        <w:rPr>
          <w:rFonts w:cstheme="minorHAnsi"/>
          <w:sz w:val="24"/>
          <w:szCs w:val="24"/>
        </w:rPr>
        <w:t xml:space="preserve"> report presentato dalla società è stato ritenuto accettabile</w:t>
      </w:r>
      <w:r w:rsidR="001D30B2" w:rsidRPr="000C7B84">
        <w:rPr>
          <w:rFonts w:cstheme="minorHAnsi"/>
          <w:sz w:val="24"/>
          <w:szCs w:val="24"/>
        </w:rPr>
        <w:t xml:space="preserve"> </w:t>
      </w:r>
      <w:r w:rsidRPr="000C7B84">
        <w:rPr>
          <w:rFonts w:cstheme="minorHAnsi"/>
          <w:sz w:val="24"/>
          <w:szCs w:val="24"/>
        </w:rPr>
        <w:t>essendo stato confrontato con il fo</w:t>
      </w:r>
      <w:r w:rsidR="009A74CA" w:rsidRPr="000C7B84">
        <w:rPr>
          <w:rFonts w:cstheme="minorHAnsi"/>
          <w:sz w:val="24"/>
          <w:szCs w:val="24"/>
        </w:rPr>
        <w:t>glio illustrativo di altro medicinale</w:t>
      </w:r>
      <w:r w:rsidRPr="000C7B84">
        <w:rPr>
          <w:rFonts w:cstheme="minorHAnsi"/>
          <w:sz w:val="24"/>
          <w:szCs w:val="24"/>
        </w:rPr>
        <w:t xml:space="preserve"> avente stesse informazioni sull’efficacia e la sicurezza ed essendo le differenze di stile, </w:t>
      </w:r>
      <w:r w:rsidR="009A74CA" w:rsidRPr="000C7B84">
        <w:rPr>
          <w:rFonts w:cstheme="minorHAnsi"/>
          <w:sz w:val="24"/>
          <w:szCs w:val="24"/>
        </w:rPr>
        <w:t>font e layout non significative.</w:t>
      </w:r>
    </w:p>
    <w:p w14:paraId="6189FC26" w14:textId="77777777" w:rsidR="008E3347" w:rsidRPr="000C7B84" w:rsidRDefault="008E3347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F831C8A" w14:textId="77777777" w:rsidR="004E5A39" w:rsidRPr="000C7B84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C7B84">
        <w:rPr>
          <w:rFonts w:cstheme="minorHAnsi"/>
          <w:b/>
          <w:sz w:val="24"/>
          <w:szCs w:val="24"/>
        </w:rPr>
        <w:t>CONCLUSIONI, VALUTAZIONE DEL RAPPORTO BENEFICIO/RISCHIO E RACCOMANDAZIONI</w:t>
      </w:r>
    </w:p>
    <w:p w14:paraId="03EA9AA6" w14:textId="6CE22B43" w:rsidR="00BE7CDB" w:rsidRPr="000C7B84" w:rsidRDefault="004E5A39" w:rsidP="00BE7CDB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La qualità di </w:t>
      </w:r>
      <w:r w:rsidR="00153B3C"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="004209F5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0C7B84">
        <w:rPr>
          <w:rFonts w:cstheme="minorHAnsi"/>
          <w:sz w:val="24"/>
          <w:szCs w:val="24"/>
        </w:rPr>
        <w:t>è accettabile e non sono state rilevate criticità da un punto di vista non clinico e clinico.</w:t>
      </w:r>
    </w:p>
    <w:p w14:paraId="5A3B94D7" w14:textId="77777777" w:rsidR="00071E63" w:rsidRPr="000C7B84" w:rsidRDefault="00071E63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AC9E156" w14:textId="67526DA4" w:rsidR="004E5A39" w:rsidRPr="000C7B84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Il rapporto beneficio/rischio </w:t>
      </w:r>
      <w:r w:rsidR="00071E63" w:rsidRPr="000C7B84">
        <w:rPr>
          <w:rFonts w:cstheme="minorHAnsi"/>
          <w:sz w:val="24"/>
          <w:szCs w:val="24"/>
        </w:rPr>
        <w:t xml:space="preserve">di </w:t>
      </w:r>
      <w:r w:rsidR="00153B3C" w:rsidRPr="000C7B84">
        <w:rPr>
          <w:rFonts w:eastAsia="Calibri" w:cstheme="minorHAnsi"/>
          <w:color w:val="000000"/>
          <w:sz w:val="24"/>
          <w:szCs w:val="24"/>
          <w:lang w:eastAsia="it-IT"/>
        </w:rPr>
        <w:t>PROTOX</w:t>
      </w:r>
      <w:r w:rsidR="00071E63" w:rsidRPr="000C7B84">
        <w:rPr>
          <w:rFonts w:eastAsia="Calibri" w:cstheme="minorHAnsi"/>
          <w:color w:val="000000"/>
          <w:sz w:val="24"/>
          <w:szCs w:val="24"/>
          <w:lang w:eastAsia="it-IT"/>
        </w:rPr>
        <w:t xml:space="preserve"> </w:t>
      </w:r>
      <w:r w:rsidRPr="000C7B84">
        <w:rPr>
          <w:rFonts w:cstheme="minorHAnsi"/>
          <w:sz w:val="24"/>
          <w:szCs w:val="24"/>
        </w:rPr>
        <w:t xml:space="preserve">è considerato </w:t>
      </w:r>
      <w:r w:rsidR="00071E63" w:rsidRPr="000C7B84">
        <w:rPr>
          <w:rFonts w:cstheme="minorHAnsi"/>
          <w:sz w:val="24"/>
          <w:szCs w:val="24"/>
        </w:rPr>
        <w:t>favorevole per l’autorizzazione all’immis</w:t>
      </w:r>
      <w:r w:rsidR="00997F05" w:rsidRPr="000C7B84">
        <w:rPr>
          <w:rFonts w:cstheme="minorHAnsi"/>
          <w:sz w:val="24"/>
          <w:szCs w:val="24"/>
        </w:rPr>
        <w:t>s</w:t>
      </w:r>
      <w:r w:rsidR="00071E63" w:rsidRPr="000C7B84">
        <w:rPr>
          <w:rFonts w:cstheme="minorHAnsi"/>
          <w:sz w:val="24"/>
          <w:szCs w:val="24"/>
        </w:rPr>
        <w:t>ione in commercio</w:t>
      </w:r>
      <w:r w:rsidRPr="000C7B84">
        <w:rPr>
          <w:rFonts w:cstheme="minorHAnsi"/>
          <w:sz w:val="24"/>
          <w:szCs w:val="24"/>
        </w:rPr>
        <w:t>.</w:t>
      </w:r>
    </w:p>
    <w:p w14:paraId="6DD662ED" w14:textId="77777777" w:rsidR="00071E63" w:rsidRPr="000C7B84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Il riassunto delle caratteristiche del prodotto, il foglio illustrativo e le etichette sono in linea con le </w:t>
      </w:r>
      <w:r w:rsidR="00071E63" w:rsidRPr="000C7B84">
        <w:rPr>
          <w:rFonts w:cstheme="minorHAnsi"/>
          <w:sz w:val="24"/>
          <w:szCs w:val="24"/>
        </w:rPr>
        <w:t xml:space="preserve">vigenti </w:t>
      </w:r>
      <w:r w:rsidRPr="000C7B84">
        <w:rPr>
          <w:rFonts w:cstheme="minorHAnsi"/>
          <w:sz w:val="24"/>
          <w:szCs w:val="24"/>
        </w:rPr>
        <w:t>linee guida</w:t>
      </w:r>
      <w:r w:rsidR="00071E63" w:rsidRPr="000C7B84">
        <w:rPr>
          <w:rFonts w:cstheme="minorHAnsi"/>
          <w:sz w:val="24"/>
          <w:szCs w:val="24"/>
        </w:rPr>
        <w:t xml:space="preserve"> e raccomandazioni italiane ed europee</w:t>
      </w:r>
      <w:r w:rsidRPr="000C7B84">
        <w:rPr>
          <w:rFonts w:cstheme="minorHAnsi"/>
          <w:sz w:val="24"/>
          <w:szCs w:val="24"/>
        </w:rPr>
        <w:t xml:space="preserve">. </w:t>
      </w:r>
    </w:p>
    <w:p w14:paraId="4F091839" w14:textId="3A10A083" w:rsidR="006B311C" w:rsidRPr="000C7B84" w:rsidRDefault="004E5A39" w:rsidP="00EF6711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C7B84">
        <w:rPr>
          <w:rFonts w:cstheme="minorHAnsi"/>
          <w:sz w:val="24"/>
          <w:szCs w:val="24"/>
        </w:rPr>
        <w:t xml:space="preserve">Questi documenti possono essere consultati sul sito istituzionale di AIFA </w:t>
      </w:r>
      <w:r w:rsidRPr="000C7B84">
        <w:rPr>
          <w:rFonts w:eastAsia="Calibri" w:cstheme="minorHAnsi"/>
          <w:sz w:val="24"/>
          <w:szCs w:val="24"/>
          <w:lang w:eastAsia="it-IT"/>
        </w:rPr>
        <w:t>(</w:t>
      </w:r>
      <w:hyperlink r:id="rId12" w:anchor="/it/" w:history="1">
        <w:r w:rsidR="00BF2F8F" w:rsidRPr="000C7B84">
          <w:rPr>
            <w:rStyle w:val="Collegamentoipertestuale"/>
            <w:rFonts w:cstheme="minorHAnsi"/>
            <w:sz w:val="24"/>
            <w:szCs w:val="24"/>
          </w:rPr>
          <w:t>https://medicinali.aifa.gov.it/it/#/it/</w:t>
        </w:r>
      </w:hyperlink>
      <w:r w:rsidR="00BF2F8F" w:rsidRPr="000C7B84">
        <w:rPr>
          <w:rFonts w:cstheme="minorHAnsi"/>
          <w:sz w:val="24"/>
          <w:szCs w:val="24"/>
        </w:rPr>
        <w:t>).</w:t>
      </w:r>
    </w:p>
    <w:sectPr w:rsidR="006B311C" w:rsidRPr="000C7B84" w:rsidSect="00FE030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29102" w14:textId="77777777" w:rsidR="004D5538" w:rsidRDefault="004D5538" w:rsidP="00C07183">
      <w:pPr>
        <w:spacing w:after="0" w:line="240" w:lineRule="auto"/>
      </w:pPr>
      <w:r>
        <w:separator/>
      </w:r>
    </w:p>
  </w:endnote>
  <w:endnote w:type="continuationSeparator" w:id="0">
    <w:p w14:paraId="0178E596" w14:textId="77777777" w:rsidR="004D5538" w:rsidRDefault="004D5538" w:rsidP="00C0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BE4A6" w14:textId="77777777" w:rsidR="0027706B" w:rsidRDefault="0027706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3EE73" w14:textId="77777777" w:rsidR="00C07183" w:rsidRDefault="00C07183">
    <w:pPr>
      <w:pStyle w:val="Pidipagina"/>
    </w:pPr>
    <w:r w:rsidRPr="00C07183">
      <w:rPr>
        <w:rFonts w:ascii="Times New Roman" w:eastAsia="Times New Roman" w:hAnsi="Times New Roman" w:cs="Times New Roman"/>
        <w:noProof/>
        <w:sz w:val="20"/>
        <w:szCs w:val="20"/>
        <w:lang w:eastAsia="it-IT"/>
      </w:rPr>
      <w:drawing>
        <wp:anchor distT="0" distB="0" distL="114300" distR="114300" simplePos="0" relativeHeight="251657216" behindDoc="0" locked="0" layoutInCell="1" allowOverlap="1" wp14:anchorId="010D8652" wp14:editId="7EE6A26B">
          <wp:simplePos x="0" y="0"/>
          <wp:positionH relativeFrom="column">
            <wp:posOffset>-739140</wp:posOffset>
          </wp:positionH>
          <wp:positionV relativeFrom="paragraph">
            <wp:posOffset>182880</wp:posOffset>
          </wp:positionV>
          <wp:extent cx="7571740" cy="800100"/>
          <wp:effectExtent l="0" t="0" r="0" b="0"/>
          <wp:wrapSquare wrapText="bothSides"/>
          <wp:docPr id="257757203" name="Immagine 2577572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74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79A0C" w14:textId="77777777" w:rsidR="0027706B" w:rsidRDefault="0027706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8F91A" w14:textId="77777777" w:rsidR="004D5538" w:rsidRDefault="004D5538" w:rsidP="00C07183">
      <w:pPr>
        <w:spacing w:after="0" w:line="240" w:lineRule="auto"/>
      </w:pPr>
      <w:r>
        <w:separator/>
      </w:r>
    </w:p>
  </w:footnote>
  <w:footnote w:type="continuationSeparator" w:id="0">
    <w:p w14:paraId="79E50888" w14:textId="77777777" w:rsidR="004D5538" w:rsidRDefault="004D5538" w:rsidP="00C07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BBB95" w14:textId="77777777" w:rsidR="0027706B" w:rsidRDefault="0027706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F7FC3" w14:textId="5A4E42A2" w:rsidR="0027706B" w:rsidRDefault="0027706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DBC1C" w14:textId="77777777" w:rsidR="0027706B" w:rsidRDefault="0027706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E2285"/>
    <w:multiLevelType w:val="hybridMultilevel"/>
    <w:tmpl w:val="169221D6"/>
    <w:lvl w:ilvl="0" w:tplc="71C6319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D2879"/>
    <w:multiLevelType w:val="hybridMultilevel"/>
    <w:tmpl w:val="EEA251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A2CDD"/>
    <w:multiLevelType w:val="hybridMultilevel"/>
    <w:tmpl w:val="A29E2C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92677"/>
    <w:multiLevelType w:val="hybridMultilevel"/>
    <w:tmpl w:val="D0AAAD60"/>
    <w:lvl w:ilvl="0" w:tplc="D4045B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61230"/>
    <w:multiLevelType w:val="hybridMultilevel"/>
    <w:tmpl w:val="E80259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05157"/>
    <w:multiLevelType w:val="hybridMultilevel"/>
    <w:tmpl w:val="7D328840"/>
    <w:lvl w:ilvl="0" w:tplc="607E564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11A1"/>
    <w:multiLevelType w:val="hybridMultilevel"/>
    <w:tmpl w:val="1730E342"/>
    <w:lvl w:ilvl="0" w:tplc="C5168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2382E"/>
    <w:multiLevelType w:val="hybridMultilevel"/>
    <w:tmpl w:val="F554422C"/>
    <w:lvl w:ilvl="0" w:tplc="0C78938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B3397"/>
    <w:multiLevelType w:val="hybridMultilevel"/>
    <w:tmpl w:val="E3B648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3624C"/>
    <w:multiLevelType w:val="hybridMultilevel"/>
    <w:tmpl w:val="8604BA56"/>
    <w:lvl w:ilvl="0" w:tplc="4A48F9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C545F2"/>
    <w:multiLevelType w:val="hybridMultilevel"/>
    <w:tmpl w:val="554A542E"/>
    <w:lvl w:ilvl="0" w:tplc="08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11C50"/>
    <w:multiLevelType w:val="hybridMultilevel"/>
    <w:tmpl w:val="9D02DC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91CF4"/>
    <w:multiLevelType w:val="hybridMultilevel"/>
    <w:tmpl w:val="8F2AE9FA"/>
    <w:lvl w:ilvl="0" w:tplc="FC389974">
      <w:start w:val="1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B2D4582"/>
    <w:multiLevelType w:val="hybridMultilevel"/>
    <w:tmpl w:val="9B4C62E2"/>
    <w:lvl w:ilvl="0" w:tplc="08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4" w15:restartNumberingAfterBreak="0">
    <w:nsid w:val="4DA16975"/>
    <w:multiLevelType w:val="hybridMultilevel"/>
    <w:tmpl w:val="16CA86B0"/>
    <w:lvl w:ilvl="0" w:tplc="71C6319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9499D"/>
    <w:multiLevelType w:val="hybridMultilevel"/>
    <w:tmpl w:val="F4ECB43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E63AE5"/>
    <w:multiLevelType w:val="hybridMultilevel"/>
    <w:tmpl w:val="E99205FE"/>
    <w:lvl w:ilvl="0" w:tplc="D4045B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041C43"/>
    <w:multiLevelType w:val="hybridMultilevel"/>
    <w:tmpl w:val="8A102CB8"/>
    <w:lvl w:ilvl="0" w:tplc="71C6319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6"/>
  </w:num>
  <w:num w:numId="4">
    <w:abstractNumId w:val="9"/>
  </w:num>
  <w:num w:numId="5">
    <w:abstractNumId w:val="7"/>
  </w:num>
  <w:num w:numId="6">
    <w:abstractNumId w:val="15"/>
  </w:num>
  <w:num w:numId="7">
    <w:abstractNumId w:val="17"/>
  </w:num>
  <w:num w:numId="8">
    <w:abstractNumId w:val="2"/>
  </w:num>
  <w:num w:numId="9">
    <w:abstractNumId w:val="14"/>
  </w:num>
  <w:num w:numId="10">
    <w:abstractNumId w:val="0"/>
  </w:num>
  <w:num w:numId="11">
    <w:abstractNumId w:val="13"/>
  </w:num>
  <w:num w:numId="12">
    <w:abstractNumId w:val="10"/>
  </w:num>
  <w:num w:numId="13">
    <w:abstractNumId w:val="11"/>
  </w:num>
  <w:num w:numId="14">
    <w:abstractNumId w:val="4"/>
  </w:num>
  <w:num w:numId="15">
    <w:abstractNumId w:val="8"/>
  </w:num>
  <w:num w:numId="16">
    <w:abstractNumId w:val="1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AC"/>
    <w:rsid w:val="00001226"/>
    <w:rsid w:val="00013020"/>
    <w:rsid w:val="00014743"/>
    <w:rsid w:val="00022511"/>
    <w:rsid w:val="00022F32"/>
    <w:rsid w:val="00023C13"/>
    <w:rsid w:val="00023CEA"/>
    <w:rsid w:val="00031146"/>
    <w:rsid w:val="0003153B"/>
    <w:rsid w:val="00035DB7"/>
    <w:rsid w:val="00044F16"/>
    <w:rsid w:val="00050F6A"/>
    <w:rsid w:val="00054C87"/>
    <w:rsid w:val="0005534A"/>
    <w:rsid w:val="00062636"/>
    <w:rsid w:val="00066320"/>
    <w:rsid w:val="00071E63"/>
    <w:rsid w:val="000759F6"/>
    <w:rsid w:val="000808A3"/>
    <w:rsid w:val="0008502C"/>
    <w:rsid w:val="000879D1"/>
    <w:rsid w:val="000974D3"/>
    <w:rsid w:val="000A2B97"/>
    <w:rsid w:val="000A4BA1"/>
    <w:rsid w:val="000B6EFB"/>
    <w:rsid w:val="000B7AC8"/>
    <w:rsid w:val="000C1389"/>
    <w:rsid w:val="000C2FFD"/>
    <w:rsid w:val="000C5F5E"/>
    <w:rsid w:val="000C6707"/>
    <w:rsid w:val="000C6DAF"/>
    <w:rsid w:val="000C7B84"/>
    <w:rsid w:val="000D1A40"/>
    <w:rsid w:val="000D2931"/>
    <w:rsid w:val="000E1F86"/>
    <w:rsid w:val="000E4308"/>
    <w:rsid w:val="000E4494"/>
    <w:rsid w:val="000E4A73"/>
    <w:rsid w:val="000F2B9E"/>
    <w:rsid w:val="000F2F91"/>
    <w:rsid w:val="000F658F"/>
    <w:rsid w:val="00100021"/>
    <w:rsid w:val="00111E9E"/>
    <w:rsid w:val="00112B76"/>
    <w:rsid w:val="00126BC8"/>
    <w:rsid w:val="001302AA"/>
    <w:rsid w:val="001302FC"/>
    <w:rsid w:val="001412C9"/>
    <w:rsid w:val="00145737"/>
    <w:rsid w:val="001460CA"/>
    <w:rsid w:val="0014789C"/>
    <w:rsid w:val="00153B3C"/>
    <w:rsid w:val="00172AED"/>
    <w:rsid w:val="001757B3"/>
    <w:rsid w:val="00187CD1"/>
    <w:rsid w:val="00195167"/>
    <w:rsid w:val="001A516D"/>
    <w:rsid w:val="001B1241"/>
    <w:rsid w:val="001B1315"/>
    <w:rsid w:val="001C15DF"/>
    <w:rsid w:val="001C3BC9"/>
    <w:rsid w:val="001C4323"/>
    <w:rsid w:val="001C5243"/>
    <w:rsid w:val="001C66E0"/>
    <w:rsid w:val="001D30B2"/>
    <w:rsid w:val="001D4650"/>
    <w:rsid w:val="001E7787"/>
    <w:rsid w:val="001F0D20"/>
    <w:rsid w:val="001F3B8C"/>
    <w:rsid w:val="0021736D"/>
    <w:rsid w:val="002227A8"/>
    <w:rsid w:val="0023397E"/>
    <w:rsid w:val="00245B04"/>
    <w:rsid w:val="00252FE8"/>
    <w:rsid w:val="00256BD8"/>
    <w:rsid w:val="00265B61"/>
    <w:rsid w:val="002722A2"/>
    <w:rsid w:val="0027706B"/>
    <w:rsid w:val="00277A0E"/>
    <w:rsid w:val="00280B2E"/>
    <w:rsid w:val="00296160"/>
    <w:rsid w:val="00297F10"/>
    <w:rsid w:val="002A1800"/>
    <w:rsid w:val="002B662A"/>
    <w:rsid w:val="002C2D9F"/>
    <w:rsid w:val="002C57EB"/>
    <w:rsid w:val="002D63AB"/>
    <w:rsid w:val="002E3566"/>
    <w:rsid w:val="002E6AFE"/>
    <w:rsid w:val="002F2543"/>
    <w:rsid w:val="002F4000"/>
    <w:rsid w:val="002F5DCB"/>
    <w:rsid w:val="00300BEA"/>
    <w:rsid w:val="00302038"/>
    <w:rsid w:val="003061E0"/>
    <w:rsid w:val="003117D0"/>
    <w:rsid w:val="00323648"/>
    <w:rsid w:val="003238CF"/>
    <w:rsid w:val="00325EA5"/>
    <w:rsid w:val="00326095"/>
    <w:rsid w:val="00326F18"/>
    <w:rsid w:val="003325CB"/>
    <w:rsid w:val="0033307F"/>
    <w:rsid w:val="00340A88"/>
    <w:rsid w:val="00340DC4"/>
    <w:rsid w:val="00347D7F"/>
    <w:rsid w:val="0036724F"/>
    <w:rsid w:val="00367CE0"/>
    <w:rsid w:val="00372210"/>
    <w:rsid w:val="003756F3"/>
    <w:rsid w:val="00383206"/>
    <w:rsid w:val="00387CA8"/>
    <w:rsid w:val="00394412"/>
    <w:rsid w:val="003A726F"/>
    <w:rsid w:val="003B0421"/>
    <w:rsid w:val="003B10A3"/>
    <w:rsid w:val="003C054E"/>
    <w:rsid w:val="003C41FC"/>
    <w:rsid w:val="003C5B6E"/>
    <w:rsid w:val="003E1E83"/>
    <w:rsid w:val="003E76CB"/>
    <w:rsid w:val="00403E70"/>
    <w:rsid w:val="00405160"/>
    <w:rsid w:val="00407E8F"/>
    <w:rsid w:val="0041387F"/>
    <w:rsid w:val="00417D9E"/>
    <w:rsid w:val="004209F5"/>
    <w:rsid w:val="0042122A"/>
    <w:rsid w:val="004214DB"/>
    <w:rsid w:val="0042214D"/>
    <w:rsid w:val="00423A97"/>
    <w:rsid w:val="004241AC"/>
    <w:rsid w:val="00445DB2"/>
    <w:rsid w:val="004509BC"/>
    <w:rsid w:val="004532E2"/>
    <w:rsid w:val="00454CAD"/>
    <w:rsid w:val="004609F8"/>
    <w:rsid w:val="00461D93"/>
    <w:rsid w:val="00462B8D"/>
    <w:rsid w:val="004631F3"/>
    <w:rsid w:val="00467DAA"/>
    <w:rsid w:val="004809C0"/>
    <w:rsid w:val="00496633"/>
    <w:rsid w:val="0049700F"/>
    <w:rsid w:val="004A2B2C"/>
    <w:rsid w:val="004B20A8"/>
    <w:rsid w:val="004B5B15"/>
    <w:rsid w:val="004D5538"/>
    <w:rsid w:val="004E0073"/>
    <w:rsid w:val="004E28E5"/>
    <w:rsid w:val="004E401A"/>
    <w:rsid w:val="004E5A39"/>
    <w:rsid w:val="004E70F5"/>
    <w:rsid w:val="004F311E"/>
    <w:rsid w:val="004F343B"/>
    <w:rsid w:val="00500ACA"/>
    <w:rsid w:val="005049A1"/>
    <w:rsid w:val="00504FC1"/>
    <w:rsid w:val="005225D3"/>
    <w:rsid w:val="00524233"/>
    <w:rsid w:val="005250B6"/>
    <w:rsid w:val="005250C9"/>
    <w:rsid w:val="0053654D"/>
    <w:rsid w:val="0055545A"/>
    <w:rsid w:val="005560BD"/>
    <w:rsid w:val="00560CFF"/>
    <w:rsid w:val="0056372C"/>
    <w:rsid w:val="00566A17"/>
    <w:rsid w:val="00567615"/>
    <w:rsid w:val="005744D4"/>
    <w:rsid w:val="00577746"/>
    <w:rsid w:val="00577DAC"/>
    <w:rsid w:val="005950D6"/>
    <w:rsid w:val="00596D5D"/>
    <w:rsid w:val="005978A6"/>
    <w:rsid w:val="005A466E"/>
    <w:rsid w:val="005A4BBD"/>
    <w:rsid w:val="005B03CC"/>
    <w:rsid w:val="005B4C97"/>
    <w:rsid w:val="005C2427"/>
    <w:rsid w:val="005D0131"/>
    <w:rsid w:val="005D18E5"/>
    <w:rsid w:val="005E37AE"/>
    <w:rsid w:val="005E4787"/>
    <w:rsid w:val="005E597D"/>
    <w:rsid w:val="005F011C"/>
    <w:rsid w:val="005F54B1"/>
    <w:rsid w:val="006014E8"/>
    <w:rsid w:val="006025F4"/>
    <w:rsid w:val="00605F23"/>
    <w:rsid w:val="00610BAB"/>
    <w:rsid w:val="0061269A"/>
    <w:rsid w:val="0061410F"/>
    <w:rsid w:val="0061413C"/>
    <w:rsid w:val="0061759B"/>
    <w:rsid w:val="00621AE2"/>
    <w:rsid w:val="006231AC"/>
    <w:rsid w:val="00642CB0"/>
    <w:rsid w:val="00642D6A"/>
    <w:rsid w:val="0064646C"/>
    <w:rsid w:val="00652B77"/>
    <w:rsid w:val="00654D9E"/>
    <w:rsid w:val="00663BCD"/>
    <w:rsid w:val="00664931"/>
    <w:rsid w:val="00666DFA"/>
    <w:rsid w:val="006706DF"/>
    <w:rsid w:val="006727BD"/>
    <w:rsid w:val="00685C22"/>
    <w:rsid w:val="006A0551"/>
    <w:rsid w:val="006A3A37"/>
    <w:rsid w:val="006B311C"/>
    <w:rsid w:val="006B3E12"/>
    <w:rsid w:val="006C5811"/>
    <w:rsid w:val="006D7B8C"/>
    <w:rsid w:val="006E149E"/>
    <w:rsid w:val="006E655F"/>
    <w:rsid w:val="006F01F5"/>
    <w:rsid w:val="006F0C11"/>
    <w:rsid w:val="006F44C7"/>
    <w:rsid w:val="006F56E8"/>
    <w:rsid w:val="00700B90"/>
    <w:rsid w:val="00701C20"/>
    <w:rsid w:val="00712DB3"/>
    <w:rsid w:val="00716DF5"/>
    <w:rsid w:val="007170D7"/>
    <w:rsid w:val="0072070E"/>
    <w:rsid w:val="007221B6"/>
    <w:rsid w:val="00745609"/>
    <w:rsid w:val="007458F3"/>
    <w:rsid w:val="00747E46"/>
    <w:rsid w:val="007508F2"/>
    <w:rsid w:val="00751F78"/>
    <w:rsid w:val="00766E26"/>
    <w:rsid w:val="0077283A"/>
    <w:rsid w:val="00777D56"/>
    <w:rsid w:val="0078608F"/>
    <w:rsid w:val="0078680B"/>
    <w:rsid w:val="00797416"/>
    <w:rsid w:val="007A1C0E"/>
    <w:rsid w:val="007B2CF1"/>
    <w:rsid w:val="007D2539"/>
    <w:rsid w:val="007D6C88"/>
    <w:rsid w:val="007E16CB"/>
    <w:rsid w:val="007E4E98"/>
    <w:rsid w:val="007F0F8F"/>
    <w:rsid w:val="008011E6"/>
    <w:rsid w:val="00811B01"/>
    <w:rsid w:val="0081294D"/>
    <w:rsid w:val="00823F4C"/>
    <w:rsid w:val="008375CF"/>
    <w:rsid w:val="00850716"/>
    <w:rsid w:val="00853EC6"/>
    <w:rsid w:val="008547B3"/>
    <w:rsid w:val="008606AB"/>
    <w:rsid w:val="00866B58"/>
    <w:rsid w:val="00871255"/>
    <w:rsid w:val="008754FC"/>
    <w:rsid w:val="00880D3C"/>
    <w:rsid w:val="008819D4"/>
    <w:rsid w:val="00881BCB"/>
    <w:rsid w:val="0088216F"/>
    <w:rsid w:val="008954AC"/>
    <w:rsid w:val="0089749F"/>
    <w:rsid w:val="00897CF6"/>
    <w:rsid w:val="008A00E7"/>
    <w:rsid w:val="008A2959"/>
    <w:rsid w:val="008A6FEC"/>
    <w:rsid w:val="008A7119"/>
    <w:rsid w:val="008B46E3"/>
    <w:rsid w:val="008B60D7"/>
    <w:rsid w:val="008C3877"/>
    <w:rsid w:val="008C3D30"/>
    <w:rsid w:val="008C75F9"/>
    <w:rsid w:val="008D1529"/>
    <w:rsid w:val="008E3347"/>
    <w:rsid w:val="008F117D"/>
    <w:rsid w:val="008F1EDE"/>
    <w:rsid w:val="008F66D6"/>
    <w:rsid w:val="009234CB"/>
    <w:rsid w:val="009254CC"/>
    <w:rsid w:val="00943785"/>
    <w:rsid w:val="00953384"/>
    <w:rsid w:val="0095448E"/>
    <w:rsid w:val="009568D6"/>
    <w:rsid w:val="00956C88"/>
    <w:rsid w:val="00957832"/>
    <w:rsid w:val="00967ADC"/>
    <w:rsid w:val="00977723"/>
    <w:rsid w:val="0098470E"/>
    <w:rsid w:val="00997F05"/>
    <w:rsid w:val="009A23DE"/>
    <w:rsid w:val="009A260F"/>
    <w:rsid w:val="009A74CA"/>
    <w:rsid w:val="009B03DB"/>
    <w:rsid w:val="009C126F"/>
    <w:rsid w:val="009C3E8B"/>
    <w:rsid w:val="009C76AD"/>
    <w:rsid w:val="009D1F10"/>
    <w:rsid w:val="009D3446"/>
    <w:rsid w:val="009E0140"/>
    <w:rsid w:val="009E2BC0"/>
    <w:rsid w:val="009F3867"/>
    <w:rsid w:val="009F395B"/>
    <w:rsid w:val="009F5439"/>
    <w:rsid w:val="009F584E"/>
    <w:rsid w:val="00A01AB1"/>
    <w:rsid w:val="00A03645"/>
    <w:rsid w:val="00A046AC"/>
    <w:rsid w:val="00A05F95"/>
    <w:rsid w:val="00A11FD6"/>
    <w:rsid w:val="00A241B1"/>
    <w:rsid w:val="00A247C5"/>
    <w:rsid w:val="00A40FF3"/>
    <w:rsid w:val="00A47604"/>
    <w:rsid w:val="00A557BB"/>
    <w:rsid w:val="00A55F72"/>
    <w:rsid w:val="00A62D55"/>
    <w:rsid w:val="00A707F9"/>
    <w:rsid w:val="00A76380"/>
    <w:rsid w:val="00A76C45"/>
    <w:rsid w:val="00A84362"/>
    <w:rsid w:val="00A86F5A"/>
    <w:rsid w:val="00A908B9"/>
    <w:rsid w:val="00A92A9D"/>
    <w:rsid w:val="00A963F2"/>
    <w:rsid w:val="00A966D1"/>
    <w:rsid w:val="00AA0AC7"/>
    <w:rsid w:val="00AA17C4"/>
    <w:rsid w:val="00AA516E"/>
    <w:rsid w:val="00AB5A71"/>
    <w:rsid w:val="00AB6EAA"/>
    <w:rsid w:val="00AC6874"/>
    <w:rsid w:val="00AD051C"/>
    <w:rsid w:val="00AD0DB2"/>
    <w:rsid w:val="00AD1A23"/>
    <w:rsid w:val="00AD4A22"/>
    <w:rsid w:val="00AD4BE6"/>
    <w:rsid w:val="00AE6787"/>
    <w:rsid w:val="00AF12B3"/>
    <w:rsid w:val="00AF3533"/>
    <w:rsid w:val="00AF4856"/>
    <w:rsid w:val="00AF52E2"/>
    <w:rsid w:val="00B023E9"/>
    <w:rsid w:val="00B03E01"/>
    <w:rsid w:val="00B046B5"/>
    <w:rsid w:val="00B05A50"/>
    <w:rsid w:val="00B1186F"/>
    <w:rsid w:val="00B14B4F"/>
    <w:rsid w:val="00B15135"/>
    <w:rsid w:val="00B30431"/>
    <w:rsid w:val="00B46E0B"/>
    <w:rsid w:val="00B52992"/>
    <w:rsid w:val="00B5623D"/>
    <w:rsid w:val="00B6738E"/>
    <w:rsid w:val="00B80668"/>
    <w:rsid w:val="00B84DD2"/>
    <w:rsid w:val="00B85635"/>
    <w:rsid w:val="00B862CA"/>
    <w:rsid w:val="00B930BA"/>
    <w:rsid w:val="00B97440"/>
    <w:rsid w:val="00BA0ACD"/>
    <w:rsid w:val="00BA57AD"/>
    <w:rsid w:val="00BA78BC"/>
    <w:rsid w:val="00BB2AF8"/>
    <w:rsid w:val="00BB7B54"/>
    <w:rsid w:val="00BB7ED6"/>
    <w:rsid w:val="00BC74C2"/>
    <w:rsid w:val="00BD00A4"/>
    <w:rsid w:val="00BD02AC"/>
    <w:rsid w:val="00BD39EB"/>
    <w:rsid w:val="00BE7CDB"/>
    <w:rsid w:val="00BF2F8F"/>
    <w:rsid w:val="00BF55B9"/>
    <w:rsid w:val="00BF7A42"/>
    <w:rsid w:val="00C0480B"/>
    <w:rsid w:val="00C058E1"/>
    <w:rsid w:val="00C06012"/>
    <w:rsid w:val="00C07183"/>
    <w:rsid w:val="00C174A6"/>
    <w:rsid w:val="00C17BBC"/>
    <w:rsid w:val="00C17BE2"/>
    <w:rsid w:val="00C22426"/>
    <w:rsid w:val="00C2462C"/>
    <w:rsid w:val="00C2565A"/>
    <w:rsid w:val="00C33EDD"/>
    <w:rsid w:val="00C362DF"/>
    <w:rsid w:val="00C3662E"/>
    <w:rsid w:val="00C42AAC"/>
    <w:rsid w:val="00C51FF1"/>
    <w:rsid w:val="00C56FA9"/>
    <w:rsid w:val="00C66597"/>
    <w:rsid w:val="00C74500"/>
    <w:rsid w:val="00C76909"/>
    <w:rsid w:val="00C8176B"/>
    <w:rsid w:val="00C87C3A"/>
    <w:rsid w:val="00C938E6"/>
    <w:rsid w:val="00CC1489"/>
    <w:rsid w:val="00CC338D"/>
    <w:rsid w:val="00CC52A3"/>
    <w:rsid w:val="00CC7AFF"/>
    <w:rsid w:val="00CE2275"/>
    <w:rsid w:val="00CE29C4"/>
    <w:rsid w:val="00CE40AF"/>
    <w:rsid w:val="00CE62A1"/>
    <w:rsid w:val="00D14347"/>
    <w:rsid w:val="00D20170"/>
    <w:rsid w:val="00D212AA"/>
    <w:rsid w:val="00D36F9A"/>
    <w:rsid w:val="00D43B63"/>
    <w:rsid w:val="00D56DFD"/>
    <w:rsid w:val="00D60600"/>
    <w:rsid w:val="00D63A7D"/>
    <w:rsid w:val="00D71470"/>
    <w:rsid w:val="00D753CA"/>
    <w:rsid w:val="00D8546F"/>
    <w:rsid w:val="00DA386C"/>
    <w:rsid w:val="00DB021E"/>
    <w:rsid w:val="00DB359A"/>
    <w:rsid w:val="00DC187E"/>
    <w:rsid w:val="00DC5732"/>
    <w:rsid w:val="00DE48E6"/>
    <w:rsid w:val="00DF3193"/>
    <w:rsid w:val="00DF6434"/>
    <w:rsid w:val="00E0247C"/>
    <w:rsid w:val="00E10D6C"/>
    <w:rsid w:val="00E20E87"/>
    <w:rsid w:val="00E25D34"/>
    <w:rsid w:val="00E26828"/>
    <w:rsid w:val="00E27D9B"/>
    <w:rsid w:val="00E35EE9"/>
    <w:rsid w:val="00E43089"/>
    <w:rsid w:val="00E5617D"/>
    <w:rsid w:val="00E61E34"/>
    <w:rsid w:val="00E653E1"/>
    <w:rsid w:val="00E773F0"/>
    <w:rsid w:val="00E83F8D"/>
    <w:rsid w:val="00E856E3"/>
    <w:rsid w:val="00E86776"/>
    <w:rsid w:val="00E90AED"/>
    <w:rsid w:val="00EB4398"/>
    <w:rsid w:val="00EB47A2"/>
    <w:rsid w:val="00EC3589"/>
    <w:rsid w:val="00ED72E4"/>
    <w:rsid w:val="00EF062E"/>
    <w:rsid w:val="00EF6711"/>
    <w:rsid w:val="00F1246A"/>
    <w:rsid w:val="00F27C7F"/>
    <w:rsid w:val="00F32D54"/>
    <w:rsid w:val="00F33FC6"/>
    <w:rsid w:val="00F35F38"/>
    <w:rsid w:val="00F40912"/>
    <w:rsid w:val="00F42800"/>
    <w:rsid w:val="00F5345C"/>
    <w:rsid w:val="00F66455"/>
    <w:rsid w:val="00F66767"/>
    <w:rsid w:val="00F67DFC"/>
    <w:rsid w:val="00F76F77"/>
    <w:rsid w:val="00F85989"/>
    <w:rsid w:val="00F90F1F"/>
    <w:rsid w:val="00F96473"/>
    <w:rsid w:val="00F964BE"/>
    <w:rsid w:val="00F96F7C"/>
    <w:rsid w:val="00FA2702"/>
    <w:rsid w:val="00FB3BF5"/>
    <w:rsid w:val="00FB4181"/>
    <w:rsid w:val="00FB5B15"/>
    <w:rsid w:val="00FC0183"/>
    <w:rsid w:val="00FC27BB"/>
    <w:rsid w:val="00FC31E8"/>
    <w:rsid w:val="00FD10DB"/>
    <w:rsid w:val="00FD415D"/>
    <w:rsid w:val="00FE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F2451D"/>
  <w15:docId w15:val="{60B59FE6-18A8-4844-A803-0590BAD3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41A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567615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99"/>
    <w:qFormat/>
    <w:rsid w:val="004E5A39"/>
    <w:pPr>
      <w:ind w:left="720"/>
      <w:contextualSpacing/>
    </w:pPr>
  </w:style>
  <w:style w:type="character" w:customStyle="1" w:styleId="s1">
    <w:name w:val="s1"/>
    <w:basedOn w:val="Carpredefinitoparagrafo"/>
    <w:rsid w:val="004E5A39"/>
    <w:rPr>
      <w:rFonts w:ascii="Arial" w:hAnsi="Arial" w:cs="Arial" w:hint="default"/>
    </w:rPr>
  </w:style>
  <w:style w:type="paragraph" w:styleId="Didascalia">
    <w:name w:val="caption"/>
    <w:basedOn w:val="Normale"/>
    <w:next w:val="Normale"/>
    <w:qFormat/>
    <w:rsid w:val="004E5A39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BB2A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BB2AF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TabletextrowsAgency">
    <w:name w:val="Table text rows (Agency)"/>
    <w:basedOn w:val="Normale"/>
    <w:semiHidden/>
    <w:rsid w:val="00265B61"/>
    <w:pPr>
      <w:spacing w:after="0" w:line="280" w:lineRule="exact"/>
    </w:pPr>
    <w:rPr>
      <w:rFonts w:ascii="Verdana" w:eastAsia="Times New Roman" w:hAnsi="Verdana" w:cs="Verdana"/>
      <w:sz w:val="18"/>
      <w:szCs w:val="18"/>
      <w:lang w:val="en-GB" w:eastAsia="zh-CN"/>
    </w:rPr>
  </w:style>
  <w:style w:type="paragraph" w:styleId="NormaleWeb">
    <w:name w:val="Normal (Web)"/>
    <w:basedOn w:val="Normale"/>
    <w:uiPriority w:val="99"/>
    <w:unhideWhenUsed/>
    <w:rsid w:val="00265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36F9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36F9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36F9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36F9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36F9A"/>
    <w:rPr>
      <w:b/>
      <w:bCs/>
      <w:sz w:val="20"/>
      <w:szCs w:val="20"/>
    </w:rPr>
  </w:style>
  <w:style w:type="character" w:styleId="Enfasigrassetto">
    <w:name w:val="Strong"/>
    <w:uiPriority w:val="22"/>
    <w:qFormat/>
    <w:rsid w:val="00022F32"/>
    <w:rPr>
      <w:b/>
      <w:bCs/>
    </w:rPr>
  </w:style>
  <w:style w:type="paragraph" w:styleId="Revisione">
    <w:name w:val="Revision"/>
    <w:hidden/>
    <w:uiPriority w:val="99"/>
    <w:semiHidden/>
    <w:rsid w:val="00022F32"/>
    <w:pPr>
      <w:spacing w:after="0" w:line="240" w:lineRule="auto"/>
    </w:pPr>
  </w:style>
  <w:style w:type="paragraph" w:customStyle="1" w:styleId="BodytextAgency">
    <w:name w:val="Body text (Agency)"/>
    <w:basedOn w:val="Normale"/>
    <w:uiPriority w:val="99"/>
    <w:rsid w:val="004509BC"/>
    <w:pPr>
      <w:spacing w:after="140" w:line="280" w:lineRule="atLeast"/>
    </w:pPr>
    <w:rPr>
      <w:rFonts w:ascii="Verdana" w:eastAsia="Times New Roman" w:hAnsi="Verdana" w:cs="Verdana"/>
      <w:sz w:val="18"/>
      <w:szCs w:val="18"/>
      <w:lang w:val="en-GB" w:eastAsia="en-GB"/>
    </w:rPr>
  </w:style>
  <w:style w:type="paragraph" w:styleId="Intestazione">
    <w:name w:val="header"/>
    <w:basedOn w:val="Normale"/>
    <w:link w:val="IntestazioneCarattere"/>
    <w:uiPriority w:val="99"/>
    <w:unhideWhenUsed/>
    <w:rsid w:val="00C071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7183"/>
  </w:style>
  <w:style w:type="paragraph" w:styleId="Pidipagina">
    <w:name w:val="footer"/>
    <w:basedOn w:val="Normale"/>
    <w:link w:val="PidipaginaCarattere"/>
    <w:uiPriority w:val="99"/>
    <w:unhideWhenUsed/>
    <w:rsid w:val="00C071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7183"/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561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1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edicinali.aifa.gov.it/it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medicinali.aifa.gov.it/it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edicinali.aifa.gov.it/it/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A6206-F867-40C0-88A5-AAF07A9F1A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9421ec-8c97-4074-8290-4fec1fc13b27}" enabled="0" method="" siteId="{f79421ec-8c97-4074-8290-4fec1fc13b2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2468</Words>
  <Characters>14074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AIFA</dc:creator>
  <dcterms:created xsi:type="dcterms:W3CDTF">2026-08-10T13:09:00Z</dcterms:created>
  <dcterms:modified xsi:type="dcterms:W3CDTF">2026-08-11T09:39:00Z</dcterms:modified>
</cp:coreProperties>
</file>